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A4" w:rsidRDefault="005A50D2">
      <w:pPr>
        <w:autoSpaceDE w:val="0"/>
        <w:autoSpaceDN w:val="0"/>
        <w:adjustRightInd w:val="0"/>
        <w:spacing w:before="1200" w:after="0"/>
        <w:jc w:val="center"/>
        <w:rPr>
          <w:rFonts w:eastAsiaTheme="minorEastAsia"/>
          <w:kern w:val="0"/>
          <w:sz w:val="24"/>
          <w:szCs w:val="24"/>
        </w:rPr>
      </w:pPr>
      <w:r>
        <w:rPr>
          <w:rFonts w:eastAsiaTheme="minorEastAsia"/>
          <w:noProof/>
          <w:kern w:val="0"/>
          <w:sz w:val="24"/>
          <w:szCs w:val="24"/>
        </w:rPr>
        <w:drawing>
          <wp:inline distT="0" distB="0" distL="0" distR="0">
            <wp:extent cx="1409700" cy="3905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390525"/>
                    </a:xfrm>
                    <a:prstGeom prst="rect">
                      <a:avLst/>
                    </a:prstGeom>
                    <a:noFill/>
                    <a:ln>
                      <a:noFill/>
                    </a:ln>
                  </pic:spPr>
                </pic:pic>
              </a:graphicData>
            </a:graphic>
          </wp:inline>
        </w:drawing>
      </w:r>
    </w:p>
    <w:p w:rsidR="00EE7DA4" w:rsidRDefault="00EE7DA4">
      <w:pPr>
        <w:spacing w:before="200" w:after="200"/>
        <w:jc w:val="center"/>
        <w:rPr>
          <w:b/>
          <w:bCs/>
          <w:sz w:val="36"/>
          <w:szCs w:val="36"/>
        </w:rPr>
      </w:pPr>
      <w:r>
        <w:rPr>
          <w:rFonts w:hint="eastAsia"/>
          <w:b/>
          <w:bCs/>
          <w:sz w:val="36"/>
          <w:szCs w:val="36"/>
        </w:rPr>
        <w:t>华孚时尚股份有限公司</w:t>
      </w:r>
    </w:p>
    <w:p w:rsidR="00EE7DA4" w:rsidRDefault="00EE7DA4">
      <w:pPr>
        <w:spacing w:before="400" w:after="0"/>
        <w:jc w:val="center"/>
        <w:rPr>
          <w:b/>
          <w:bCs/>
          <w:sz w:val="32"/>
          <w:szCs w:val="32"/>
        </w:rPr>
      </w:pPr>
      <w:r>
        <w:rPr>
          <w:b/>
          <w:bCs/>
          <w:sz w:val="32"/>
          <w:szCs w:val="32"/>
        </w:rPr>
        <w:t>2020</w:t>
      </w:r>
      <w:r>
        <w:rPr>
          <w:rFonts w:hint="eastAsia"/>
          <w:b/>
          <w:bCs/>
          <w:sz w:val="32"/>
          <w:szCs w:val="32"/>
        </w:rPr>
        <w:t>年第一季度报告</w:t>
      </w:r>
    </w:p>
    <w:p w:rsidR="00EE7DA4" w:rsidRDefault="00EE7DA4">
      <w:pPr>
        <w:spacing w:before="6000" w:after="0"/>
        <w:jc w:val="center"/>
        <w:rPr>
          <w:b/>
          <w:bCs/>
          <w:sz w:val="32"/>
          <w:szCs w:val="32"/>
        </w:rPr>
      </w:pPr>
      <w:r>
        <w:rPr>
          <w:b/>
          <w:bCs/>
          <w:sz w:val="32"/>
          <w:szCs w:val="32"/>
        </w:rPr>
        <w:t>2020</w:t>
      </w:r>
      <w:r>
        <w:rPr>
          <w:rFonts w:hint="eastAsia"/>
          <w:b/>
          <w:bCs/>
          <w:sz w:val="32"/>
          <w:szCs w:val="32"/>
        </w:rPr>
        <w:t>年</w:t>
      </w:r>
      <w:r>
        <w:rPr>
          <w:b/>
          <w:bCs/>
          <w:sz w:val="32"/>
          <w:szCs w:val="32"/>
        </w:rPr>
        <w:t>04</w:t>
      </w:r>
      <w:r>
        <w:rPr>
          <w:rFonts w:hint="eastAsia"/>
          <w:b/>
          <w:bCs/>
          <w:sz w:val="32"/>
          <w:szCs w:val="32"/>
        </w:rPr>
        <w:t>月</w:t>
      </w:r>
    </w:p>
    <w:p w:rsidR="00EE7DA4" w:rsidRDefault="00EE7DA4">
      <w:pPr>
        <w:spacing w:before="6000" w:after="0"/>
        <w:jc w:val="center"/>
        <w:rPr>
          <w:b/>
          <w:bCs/>
          <w:sz w:val="32"/>
          <w:szCs w:val="32"/>
        </w:rPr>
        <w:sectPr w:rsidR="00EE7DA4">
          <w:headerReference w:type="default" r:id="rId8"/>
          <w:footerReference w:type="default" r:id="rId9"/>
          <w:pgSz w:w="11906" w:h="16838"/>
          <w:pgMar w:top="1440" w:right="1134" w:bottom="1440" w:left="1134" w:header="720" w:footer="720" w:gutter="0"/>
          <w:cols w:space="720"/>
          <w:noEndnote/>
        </w:sectPr>
      </w:pPr>
    </w:p>
    <w:p w:rsidR="00EE7DA4" w:rsidRDefault="00EE7DA4">
      <w:pPr>
        <w:pStyle w:val="a3"/>
        <w:outlineLvl w:val="0"/>
      </w:pPr>
      <w:bookmarkStart w:id="0" w:name="_Toc300000084"/>
      <w:r>
        <w:rPr>
          <w:rFonts w:hint="eastAsia"/>
        </w:rPr>
        <w:lastRenderedPageBreak/>
        <w:t>第一节</w:t>
      </w:r>
      <w:r>
        <w:t xml:space="preserve"> </w:t>
      </w:r>
      <w:r>
        <w:rPr>
          <w:rFonts w:hint="eastAsia"/>
        </w:rPr>
        <w:t>重要提示</w:t>
      </w:r>
      <w:bookmarkEnd w:id="0"/>
    </w:p>
    <w:p w:rsidR="00EE7DA4" w:rsidRDefault="00EE7DA4" w:rsidP="00022B3D">
      <w:pPr>
        <w:spacing w:before="100" w:after="100"/>
        <w:ind w:firstLineChars="200" w:firstLine="562"/>
        <w:rPr>
          <w:b/>
          <w:bCs/>
          <w:sz w:val="28"/>
          <w:szCs w:val="28"/>
        </w:rPr>
      </w:pPr>
      <w:r>
        <w:rPr>
          <w:rFonts w:hint="eastAsia"/>
          <w:b/>
          <w:bCs/>
          <w:sz w:val="28"/>
          <w:szCs w:val="28"/>
        </w:rPr>
        <w:t>公司董事会、监事会及董事、监事、高级管理人员保证季度报告内容的真实、准确、完整，不存在虚假记载、误导性陈述或者重大遗漏，并承担个别和连带的法律责任。</w:t>
      </w:r>
    </w:p>
    <w:p w:rsidR="00EE7DA4" w:rsidRDefault="00EE7DA4" w:rsidP="00022B3D">
      <w:pPr>
        <w:spacing w:before="100" w:after="100"/>
        <w:ind w:firstLineChars="200" w:firstLine="562"/>
        <w:rPr>
          <w:b/>
          <w:bCs/>
          <w:sz w:val="28"/>
          <w:szCs w:val="28"/>
        </w:rPr>
      </w:pPr>
      <w:r>
        <w:rPr>
          <w:rFonts w:hint="eastAsia"/>
          <w:b/>
          <w:bCs/>
          <w:sz w:val="28"/>
          <w:szCs w:val="28"/>
        </w:rPr>
        <w:t>所有董事均已出席了审议本次季报的董事会会议。</w:t>
      </w:r>
    </w:p>
    <w:p w:rsidR="00EE7DA4" w:rsidRDefault="00EE7DA4" w:rsidP="00022B3D">
      <w:pPr>
        <w:spacing w:before="100" w:after="100"/>
        <w:ind w:firstLineChars="200" w:firstLine="562"/>
        <w:rPr>
          <w:b/>
          <w:bCs/>
          <w:sz w:val="28"/>
          <w:szCs w:val="28"/>
        </w:rPr>
      </w:pPr>
      <w:r>
        <w:rPr>
          <w:rFonts w:hint="eastAsia"/>
          <w:b/>
          <w:bCs/>
          <w:sz w:val="28"/>
          <w:szCs w:val="28"/>
        </w:rPr>
        <w:t>公司负责人孙伟挺、主管会计工</w:t>
      </w:r>
      <w:bookmarkStart w:id="1" w:name="_GoBack"/>
      <w:bookmarkEnd w:id="1"/>
      <w:r>
        <w:rPr>
          <w:rFonts w:hint="eastAsia"/>
          <w:b/>
          <w:bCs/>
          <w:sz w:val="28"/>
          <w:szCs w:val="28"/>
        </w:rPr>
        <w:t>作负责人陈玲芬及会计机构负责人</w:t>
      </w:r>
      <w:r>
        <w:rPr>
          <w:b/>
          <w:bCs/>
          <w:sz w:val="28"/>
          <w:szCs w:val="28"/>
        </w:rPr>
        <w:t>(</w:t>
      </w:r>
      <w:r>
        <w:rPr>
          <w:rFonts w:hint="eastAsia"/>
          <w:b/>
          <w:bCs/>
          <w:sz w:val="28"/>
          <w:szCs w:val="28"/>
        </w:rPr>
        <w:t>会计主管人员</w:t>
      </w:r>
      <w:r>
        <w:rPr>
          <w:b/>
          <w:bCs/>
          <w:sz w:val="28"/>
          <w:szCs w:val="28"/>
        </w:rPr>
        <w:t>)</w:t>
      </w:r>
      <w:r>
        <w:rPr>
          <w:rFonts w:hint="eastAsia"/>
          <w:b/>
          <w:bCs/>
          <w:sz w:val="28"/>
          <w:szCs w:val="28"/>
        </w:rPr>
        <w:t>王国友声明：保证季度报告中财务报表的真实、准确、完整。</w:t>
      </w:r>
    </w:p>
    <w:p w:rsidR="00EE7DA4" w:rsidRDefault="00EE7DA4" w:rsidP="00022B3D">
      <w:pPr>
        <w:spacing w:before="100" w:after="100"/>
        <w:ind w:firstLineChars="200" w:firstLine="562"/>
        <w:rPr>
          <w:b/>
          <w:bCs/>
          <w:sz w:val="28"/>
          <w:szCs w:val="28"/>
        </w:rPr>
        <w:sectPr w:rsidR="00EE7DA4">
          <w:pgSz w:w="11906" w:h="16838"/>
          <w:pgMar w:top="1440" w:right="1134" w:bottom="1440" w:left="1134" w:header="851" w:footer="992" w:gutter="0"/>
          <w:cols w:space="425"/>
          <w:docGrid w:type="lines" w:linePitch="312"/>
        </w:sectPr>
      </w:pPr>
    </w:p>
    <w:p w:rsidR="00EE7DA4" w:rsidRDefault="00EE7DA4">
      <w:pPr>
        <w:pStyle w:val="a3"/>
        <w:outlineLvl w:val="0"/>
      </w:pPr>
      <w:bookmarkStart w:id="2" w:name="_Toc300000085"/>
      <w:r>
        <w:rPr>
          <w:rFonts w:hint="eastAsia"/>
        </w:rPr>
        <w:lastRenderedPageBreak/>
        <w:t>第二节</w:t>
      </w:r>
      <w:r>
        <w:t xml:space="preserve"> </w:t>
      </w:r>
      <w:r>
        <w:rPr>
          <w:rFonts w:hint="eastAsia"/>
        </w:rPr>
        <w:t>公司基本情况</w:t>
      </w:r>
      <w:bookmarkEnd w:id="2"/>
    </w:p>
    <w:p w:rsidR="00EE7DA4" w:rsidRDefault="00EE7DA4">
      <w:pPr>
        <w:pStyle w:val="Chapter"/>
        <w:outlineLvl w:val="1"/>
      </w:pPr>
      <w:r>
        <w:rPr>
          <w:rFonts w:hint="eastAsia"/>
        </w:rPr>
        <w:t>一、主要会计数据和财务指标</w:t>
      </w:r>
    </w:p>
    <w:p w:rsidR="00EE7DA4" w:rsidRDefault="00EE7DA4">
      <w:pPr>
        <w:jc w:val="left"/>
      </w:pPr>
      <w:r>
        <w:rPr>
          <w:rFonts w:hint="eastAsia"/>
        </w:rPr>
        <w:t>公司是否需追溯调整或重述以前年度会计数据</w:t>
      </w:r>
    </w:p>
    <w:p w:rsidR="00EE7DA4" w:rsidRDefault="00EE7DA4">
      <w:pPr>
        <w:jc w:val="left"/>
      </w:pPr>
      <w:r>
        <w:t xml:space="preserve">□ </w:t>
      </w:r>
      <w:r>
        <w:rPr>
          <w:rFonts w:hint="eastAsia"/>
        </w:rPr>
        <w:t>是</w:t>
      </w:r>
      <w:r>
        <w:t xml:space="preserve"> √ </w:t>
      </w:r>
      <w:r>
        <w:rPr>
          <w:rFonts w:hint="eastAsia"/>
        </w:rPr>
        <w:t>否</w:t>
      </w:r>
      <w: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4536"/>
        <w:gridCol w:w="1418"/>
        <w:gridCol w:w="1493"/>
        <w:gridCol w:w="2122"/>
      </w:tblGrid>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本报告期</w:t>
            </w:r>
          </w:p>
        </w:tc>
        <w:tc>
          <w:tcPr>
            <w:tcW w:w="1493"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上年同期</w:t>
            </w:r>
          </w:p>
        </w:tc>
        <w:tc>
          <w:tcPr>
            <w:tcW w:w="2122"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本报告期比上年同期增减</w:t>
            </w:r>
          </w:p>
        </w:tc>
      </w:tr>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营业收入（元）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2,306,051,643.44</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3,634,310,612.28</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-36.55%</w:t>
            </w:r>
          </w:p>
        </w:tc>
      </w:tr>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归属于上市公司股东的净利润（元）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-30,441,948.56</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172,109,185.23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-117.69%</w:t>
            </w:r>
          </w:p>
        </w:tc>
      </w:tr>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归属于上市公司股东的扣除非经常性损益的净利润（元）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-68,231,832.91</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89,338,272.75</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-176.37%</w:t>
            </w:r>
          </w:p>
        </w:tc>
      </w:tr>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经营活动产生的现金流量净额（元）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375,254,214.61</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37,585,815.63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898.39%</w:t>
            </w:r>
          </w:p>
        </w:tc>
      </w:tr>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基本每股收益（元</w:t>
            </w:r>
            <w:r>
              <w:t>/</w:t>
            </w:r>
            <w:r>
              <w:rPr>
                <w:rFonts w:hint="eastAsia"/>
              </w:rPr>
              <w:t>股）</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-0.02</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0.11</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-118.18%</w:t>
            </w:r>
          </w:p>
        </w:tc>
      </w:tr>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稀释每股收益（元</w:t>
            </w:r>
            <w:r>
              <w:t>/</w:t>
            </w:r>
            <w:r>
              <w:rPr>
                <w:rFonts w:hint="eastAsia"/>
              </w:rPr>
              <w:t>股）</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-0.02</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0.11</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-118.18%</w:t>
            </w:r>
          </w:p>
        </w:tc>
      </w:tr>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加权平均净资产收益率</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-0.48%</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2.46%</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-2.94%</w:t>
            </w:r>
          </w:p>
        </w:tc>
      </w:tr>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本报告期末</w:t>
            </w:r>
          </w:p>
        </w:tc>
        <w:tc>
          <w:tcPr>
            <w:tcW w:w="1493"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上年度末</w:t>
            </w:r>
          </w:p>
        </w:tc>
        <w:tc>
          <w:tcPr>
            <w:tcW w:w="2122"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本报告期末比上年度末增减</w:t>
            </w:r>
          </w:p>
        </w:tc>
      </w:tr>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总资产（元）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18,300,557,445.51</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18,335,875,515.57</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-0.19%</w:t>
            </w:r>
          </w:p>
        </w:tc>
      </w:tr>
      <w:tr w:rsidR="00EE7DA4" w:rsidTr="00022B3D">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归属于上市公司股东的净资产（元）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6,214,295,611.94</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6,300,744,089.76</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-1.37%</w:t>
            </w:r>
          </w:p>
        </w:tc>
      </w:tr>
    </w:tbl>
    <w:p w:rsidR="00EE7DA4" w:rsidRDefault="00EE7DA4">
      <w:pPr>
        <w:jc w:val="left"/>
      </w:pPr>
      <w:r>
        <w:rPr>
          <w:rFonts w:hint="eastAsia"/>
        </w:rPr>
        <w:t>非经常性损益项目和金额</w:t>
      </w:r>
    </w:p>
    <w:p w:rsidR="00EE7DA4" w:rsidRDefault="00EE7DA4">
      <w:pPr>
        <w:jc w:val="left"/>
      </w:pPr>
      <w:r>
        <w:t xml:space="preserve">√ </w:t>
      </w:r>
      <w:r>
        <w:rPr>
          <w:rFonts w:hint="eastAsia"/>
        </w:rPr>
        <w:t>适用</w:t>
      </w:r>
      <w:r>
        <w:t xml:space="preserve"> □ </w:t>
      </w:r>
      <w:r>
        <w:rPr>
          <w:rFonts w:hint="eastAsia"/>
        </w:rPr>
        <w:t>不适用</w:t>
      </w:r>
      <w:r>
        <w:t xml:space="preserve"> </w:t>
      </w:r>
    </w:p>
    <w:p w:rsidR="00EE7DA4" w:rsidRDefault="00EE7DA4">
      <w:pPr>
        <w:jc w:val="right"/>
      </w:pPr>
      <w:r>
        <w:rPr>
          <w:rFonts w:hint="eastAsia"/>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7088"/>
        <w:gridCol w:w="1984"/>
        <w:gridCol w:w="496"/>
      </w:tblGrid>
      <w:tr w:rsidR="00EE7DA4" w:rsidTr="00022B3D">
        <w:tblPrEx>
          <w:tblCellMar>
            <w:top w:w="0" w:type="dxa"/>
            <w:bottom w:w="0" w:type="dxa"/>
          </w:tblCellMar>
        </w:tblPrEx>
        <w:tc>
          <w:tcPr>
            <w:tcW w:w="708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项目</w:t>
            </w:r>
          </w:p>
        </w:tc>
        <w:tc>
          <w:tcPr>
            <w:tcW w:w="1984"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年初至报告期期末金额</w:t>
            </w:r>
          </w:p>
        </w:tc>
        <w:tc>
          <w:tcPr>
            <w:tcW w:w="49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说明</w:t>
            </w:r>
          </w:p>
        </w:tc>
      </w:tr>
      <w:tr w:rsidR="00EE7DA4" w:rsidTr="00022B3D">
        <w:tblPrEx>
          <w:tblCellMar>
            <w:top w:w="0" w:type="dxa"/>
            <w:bottom w:w="0" w:type="dxa"/>
          </w:tblCellMar>
        </w:tblPrEx>
        <w:tc>
          <w:tcPr>
            <w:tcW w:w="708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非流动资产处置损益（包括已计提资产减值准备的冲销部分）</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-257,966.23</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p>
        </w:tc>
      </w:tr>
      <w:tr w:rsidR="00EE7DA4" w:rsidTr="00022B3D">
        <w:tblPrEx>
          <w:tblCellMar>
            <w:top w:w="0" w:type="dxa"/>
            <w:bottom w:w="0" w:type="dxa"/>
          </w:tblCellMar>
        </w:tblPrEx>
        <w:tc>
          <w:tcPr>
            <w:tcW w:w="708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计入当期损益的政府补助（与企业业务密切相关，按照国家统一标准定额或定量享受的政府补助除外）</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7,037,935.78</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p>
        </w:tc>
      </w:tr>
      <w:tr w:rsidR="00EE7DA4" w:rsidTr="00022B3D">
        <w:tblPrEx>
          <w:tblCellMar>
            <w:top w:w="0" w:type="dxa"/>
            <w:bottom w:w="0" w:type="dxa"/>
          </w:tblCellMar>
        </w:tblPrEx>
        <w:tc>
          <w:tcPr>
            <w:tcW w:w="708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39,796,661.84</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p>
        </w:tc>
      </w:tr>
      <w:tr w:rsidR="00EE7DA4" w:rsidTr="00022B3D">
        <w:tblPrEx>
          <w:tblCellMar>
            <w:top w:w="0" w:type="dxa"/>
            <w:bottom w:w="0" w:type="dxa"/>
          </w:tblCellMar>
        </w:tblPrEx>
        <w:tc>
          <w:tcPr>
            <w:tcW w:w="708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除上述各项之外的其他营业外收入和支出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3,581,067.11</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p>
        </w:tc>
      </w:tr>
      <w:tr w:rsidR="00EE7DA4" w:rsidTr="00022B3D">
        <w:tblPrEx>
          <w:tblCellMar>
            <w:top w:w="0" w:type="dxa"/>
            <w:bottom w:w="0" w:type="dxa"/>
          </w:tblCellMar>
        </w:tblPrEx>
        <w:tc>
          <w:tcPr>
            <w:tcW w:w="708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减：所得税影响额</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10,604,688.86</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p>
        </w:tc>
      </w:tr>
      <w:tr w:rsidR="00EE7DA4" w:rsidTr="00022B3D">
        <w:tblPrEx>
          <w:tblCellMar>
            <w:top w:w="0" w:type="dxa"/>
            <w:bottom w:w="0" w:type="dxa"/>
          </w:tblCellMar>
        </w:tblPrEx>
        <w:tc>
          <w:tcPr>
            <w:tcW w:w="708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 xml:space="preserve">　　少数股东权益影响额（税后）</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1,763,125.29</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p>
        </w:tc>
      </w:tr>
      <w:tr w:rsidR="00EE7DA4" w:rsidTr="00022B3D">
        <w:tblPrEx>
          <w:tblCellMar>
            <w:top w:w="0" w:type="dxa"/>
            <w:bottom w:w="0" w:type="dxa"/>
          </w:tblCellMar>
        </w:tblPrEx>
        <w:tc>
          <w:tcPr>
            <w:tcW w:w="708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合计</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37,789,884.35</w:t>
            </w:r>
          </w:p>
        </w:tc>
        <w:tc>
          <w:tcPr>
            <w:tcW w:w="49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t>--</w:t>
            </w:r>
          </w:p>
        </w:tc>
      </w:tr>
    </w:tbl>
    <w:p w:rsidR="00EE7DA4" w:rsidRDefault="00EE7DA4">
      <w:pPr>
        <w:jc w:val="left"/>
      </w:pPr>
      <w:r>
        <w:rPr>
          <w:rFonts w:hint="eastAsia"/>
        </w:rPr>
        <w:t>对公司根据《公开发行证券的公司信息披露解释性公告第</w:t>
      </w:r>
      <w:r>
        <w:t>1</w:t>
      </w:r>
      <w:r>
        <w:rPr>
          <w:rFonts w:hint="eastAsia"/>
        </w:rPr>
        <w:t>号</w:t>
      </w:r>
      <w:r>
        <w:t>——</w:t>
      </w:r>
      <w:r>
        <w:rPr>
          <w:rFonts w:hint="eastAsia"/>
        </w:rPr>
        <w:t>非经常性损益》定义界定的非经常性损益项目，以及把《公开发行证券的公司信息披露解释性公告第</w:t>
      </w:r>
      <w:r>
        <w:t>1</w:t>
      </w:r>
      <w:r>
        <w:rPr>
          <w:rFonts w:hint="eastAsia"/>
        </w:rPr>
        <w:t>号</w:t>
      </w:r>
      <w:r>
        <w:t>——</w:t>
      </w:r>
      <w:r>
        <w:rPr>
          <w:rFonts w:hint="eastAsia"/>
        </w:rPr>
        <w:t>非经常性损益》中列举的非经常性损益项目界定为经常性损益的项目，应说明原因</w:t>
      </w:r>
    </w:p>
    <w:p w:rsidR="00EE7DA4" w:rsidRDefault="00EE7DA4">
      <w:pPr>
        <w:jc w:val="left"/>
      </w:pPr>
      <w:r>
        <w:t xml:space="preserve">□ </w:t>
      </w:r>
      <w:r>
        <w:rPr>
          <w:rFonts w:hint="eastAsia"/>
        </w:rPr>
        <w:t>适用</w:t>
      </w:r>
      <w:r>
        <w:t xml:space="preserve"> √ </w:t>
      </w:r>
      <w:r>
        <w:rPr>
          <w:rFonts w:hint="eastAsia"/>
        </w:rPr>
        <w:t>不适用</w:t>
      </w:r>
      <w:r>
        <w:t xml:space="preserve"> </w:t>
      </w:r>
    </w:p>
    <w:p w:rsidR="00EE7DA4" w:rsidRDefault="00EE7DA4">
      <w:pPr>
        <w:jc w:val="left"/>
      </w:pPr>
      <w:r>
        <w:rPr>
          <w:rFonts w:hint="eastAsia"/>
        </w:rPr>
        <w:lastRenderedPageBreak/>
        <w:t>公司报告期不存在将根据《公开发行证券的公司信息披露解释性公告第</w:t>
      </w:r>
      <w:r>
        <w:t>1</w:t>
      </w:r>
      <w:r>
        <w:rPr>
          <w:rFonts w:hint="eastAsia"/>
        </w:rPr>
        <w:t>号</w:t>
      </w:r>
      <w:r>
        <w:t>——</w:t>
      </w:r>
      <w:r>
        <w:rPr>
          <w:rFonts w:hint="eastAsia"/>
        </w:rPr>
        <w:t>非经常性损益》定义、列举的非经常性损益项目界定为经常性损益的项目的情形。</w:t>
      </w:r>
    </w:p>
    <w:p w:rsidR="00EE7DA4" w:rsidRDefault="00EE7DA4">
      <w:pPr>
        <w:pStyle w:val="Chapter"/>
        <w:outlineLvl w:val="1"/>
      </w:pPr>
      <w:r>
        <w:rPr>
          <w:rFonts w:hint="eastAsia"/>
        </w:rPr>
        <w:t>二、报告期末股东总数及前十名股东持股情况表</w:t>
      </w:r>
    </w:p>
    <w:p w:rsidR="00EE7DA4" w:rsidRDefault="00EE7DA4">
      <w:pPr>
        <w:pStyle w:val="Section"/>
        <w:outlineLvl w:val="2"/>
      </w:pPr>
      <w:r>
        <w:t>1</w:t>
      </w:r>
      <w:r>
        <w:rPr>
          <w:rFonts w:hint="eastAsia"/>
        </w:rPr>
        <w:t>、普通股股东总数和表决权恢复的优先股股东数量及前</w:t>
      </w:r>
      <w:r>
        <w:t>10</w:t>
      </w:r>
      <w:r>
        <w:rPr>
          <w:rFonts w:hint="eastAsia"/>
        </w:rPr>
        <w:t>名股东持股情况表</w:t>
      </w:r>
    </w:p>
    <w:p w:rsidR="00EE7DA4" w:rsidRDefault="00EE7DA4">
      <w:pPr>
        <w:jc w:val="right"/>
      </w:pPr>
      <w:r>
        <w:rPr>
          <w:rFonts w:hint="eastAsia"/>
        </w:rPr>
        <w:t>单位：股</w:t>
      </w:r>
    </w:p>
    <w:tbl>
      <w:tblPr>
        <w:tblW w:w="0" w:type="auto"/>
        <w:tblInd w:w="28" w:type="dxa"/>
        <w:tblLayout w:type="fixed"/>
        <w:tblCellMar>
          <w:left w:w="28" w:type="dxa"/>
          <w:right w:w="28" w:type="dxa"/>
        </w:tblCellMar>
        <w:tblLook w:val="0000" w:firstRow="0" w:lastRow="0" w:firstColumn="0" w:lastColumn="0" w:noHBand="0" w:noVBand="0"/>
      </w:tblPr>
      <w:tblGrid>
        <w:gridCol w:w="1985"/>
        <w:gridCol w:w="745"/>
        <w:gridCol w:w="531"/>
        <w:gridCol w:w="837"/>
        <w:gridCol w:w="580"/>
        <w:gridCol w:w="992"/>
        <w:gridCol w:w="284"/>
        <w:gridCol w:w="709"/>
        <w:gridCol w:w="171"/>
        <w:gridCol w:w="396"/>
        <w:gridCol w:w="708"/>
        <w:gridCol w:w="567"/>
        <w:gridCol w:w="567"/>
        <w:gridCol w:w="498"/>
      </w:tblGrid>
      <w:tr w:rsidR="00EE7DA4">
        <w:tblPrEx>
          <w:tblCellMar>
            <w:top w:w="0" w:type="dxa"/>
            <w:bottom w:w="0" w:type="dxa"/>
          </w:tblCellMar>
        </w:tblPrEx>
        <w:tc>
          <w:tcPr>
            <w:tcW w:w="27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报告期末普通股股东总数</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16,438</w:t>
            </w:r>
          </w:p>
        </w:tc>
        <w:tc>
          <w:tcPr>
            <w:tcW w:w="273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报告期末表决权恢复的优先股股东总数（如有）</w:t>
            </w:r>
          </w:p>
        </w:tc>
        <w:tc>
          <w:tcPr>
            <w:tcW w:w="273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0</w:t>
            </w:r>
          </w:p>
        </w:tc>
      </w:tr>
      <w:tr w:rsidR="00EE7DA4">
        <w:tblPrEx>
          <w:tblCellMar>
            <w:top w:w="0" w:type="dxa"/>
            <w:bottom w:w="0" w:type="dxa"/>
          </w:tblCellMar>
        </w:tblPrEx>
        <w:tc>
          <w:tcPr>
            <w:tcW w:w="9570" w:type="dxa"/>
            <w:gridSpan w:val="14"/>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前</w:t>
            </w:r>
            <w:r>
              <w:t>10</w:t>
            </w:r>
            <w:r>
              <w:rPr>
                <w:rFonts w:hint="eastAsia"/>
              </w:rPr>
              <w:t>名股东持股情况</w:t>
            </w:r>
          </w:p>
        </w:tc>
      </w:tr>
      <w:tr w:rsidR="00EE7DA4" w:rsidTr="00022B3D">
        <w:tblPrEx>
          <w:tblCellMar>
            <w:top w:w="0" w:type="dxa"/>
            <w:bottom w:w="0" w:type="dxa"/>
          </w:tblCellMar>
        </w:tblPrEx>
        <w:tc>
          <w:tcPr>
            <w:tcW w:w="3261"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股东名称</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股东性质</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持股比例</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持股数量</w:t>
            </w:r>
          </w:p>
        </w:tc>
        <w:tc>
          <w:tcPr>
            <w:tcW w:w="1275"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持有有限售条件的股份数量</w:t>
            </w:r>
          </w:p>
        </w:tc>
        <w:tc>
          <w:tcPr>
            <w:tcW w:w="163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质押或冻结情况</w:t>
            </w:r>
          </w:p>
        </w:tc>
      </w:tr>
      <w:tr w:rsidR="00EE7DA4" w:rsidTr="00022B3D">
        <w:tblPrEx>
          <w:tblCellMar>
            <w:top w:w="0" w:type="dxa"/>
            <w:bottom w:w="0" w:type="dxa"/>
          </w:tblCellMar>
        </w:tblPrEx>
        <w:tc>
          <w:tcPr>
            <w:tcW w:w="3261" w:type="dxa"/>
            <w:gridSpan w:val="3"/>
            <w:vMerge/>
            <w:tcBorders>
              <w:top w:val="single" w:sz="4" w:space="0" w:color="auto"/>
              <w:left w:val="single" w:sz="4" w:space="0" w:color="auto"/>
              <w:bottom w:val="single" w:sz="4" w:space="0" w:color="auto"/>
              <w:right w:val="single" w:sz="4" w:space="0" w:color="auto"/>
            </w:tcBorders>
            <w:vAlign w:val="center"/>
          </w:tcPr>
          <w:p w:rsidR="00EE7DA4" w:rsidRDefault="00EE7DA4">
            <w:pPr>
              <w:jc w:val="cente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EE7DA4" w:rsidRDefault="00EE7DA4">
            <w:pPr>
              <w:jc w:val="center"/>
            </w:pPr>
          </w:p>
        </w:tc>
        <w:tc>
          <w:tcPr>
            <w:tcW w:w="992" w:type="dxa"/>
            <w:vMerge/>
            <w:tcBorders>
              <w:top w:val="single" w:sz="4" w:space="0" w:color="auto"/>
              <w:left w:val="single" w:sz="4" w:space="0" w:color="auto"/>
              <w:bottom w:val="single" w:sz="4" w:space="0" w:color="auto"/>
              <w:right w:val="single" w:sz="4" w:space="0" w:color="auto"/>
            </w:tcBorders>
            <w:vAlign w:val="center"/>
          </w:tcPr>
          <w:p w:rsidR="00EE7DA4" w:rsidRDefault="00EE7DA4">
            <w:pPr>
              <w:jc w:val="cente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rsidR="00EE7DA4" w:rsidRDefault="00EE7DA4">
            <w:pPr>
              <w:jc w:val="center"/>
            </w:pPr>
          </w:p>
        </w:tc>
        <w:tc>
          <w:tcPr>
            <w:tcW w:w="1275" w:type="dxa"/>
            <w:gridSpan w:val="3"/>
            <w:vMerge/>
            <w:tcBorders>
              <w:top w:val="single" w:sz="4" w:space="0" w:color="auto"/>
              <w:left w:val="single" w:sz="4" w:space="0" w:color="auto"/>
              <w:bottom w:val="single" w:sz="4" w:space="0" w:color="auto"/>
              <w:right w:val="single" w:sz="4" w:space="0" w:color="auto"/>
            </w:tcBorders>
            <w:vAlign w:val="center"/>
          </w:tcPr>
          <w:p w:rsidR="00EE7DA4" w:rsidRDefault="00EE7DA4">
            <w:pPr>
              <w:jc w:val="cente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股份状态</w:t>
            </w:r>
          </w:p>
        </w:tc>
        <w:tc>
          <w:tcPr>
            <w:tcW w:w="498"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数量</w:t>
            </w:r>
          </w:p>
        </w:tc>
      </w:tr>
      <w:tr w:rsidR="00EE7DA4" w:rsidTr="00022B3D">
        <w:tblPrEx>
          <w:tblCellMar>
            <w:top w:w="0" w:type="dxa"/>
            <w:bottom w:w="0" w:type="dxa"/>
          </w:tblCellMar>
        </w:tblPrEx>
        <w:tc>
          <w:tcPr>
            <w:tcW w:w="3261"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华孚控股有限公司</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境内非国有法人</w:t>
            </w:r>
          </w:p>
        </w:tc>
        <w:tc>
          <w:tcPr>
            <w:tcW w:w="992" w:type="dxa"/>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34.27%</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520,705,950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r>
      <w:tr w:rsidR="00EE7DA4" w:rsidTr="00022B3D">
        <w:tblPrEx>
          <w:tblCellMar>
            <w:top w:w="0" w:type="dxa"/>
            <w:bottom w:w="0" w:type="dxa"/>
          </w:tblCellMar>
        </w:tblPrEx>
        <w:tc>
          <w:tcPr>
            <w:tcW w:w="3261"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安徽飞亚纺织有限公司</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境内非国有法人</w:t>
            </w:r>
          </w:p>
        </w:tc>
        <w:tc>
          <w:tcPr>
            <w:tcW w:w="992" w:type="dxa"/>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8.49%</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129,058,312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r>
      <w:tr w:rsidR="00EE7DA4" w:rsidTr="00022B3D">
        <w:tblPrEx>
          <w:tblCellMar>
            <w:top w:w="0" w:type="dxa"/>
            <w:bottom w:w="0" w:type="dxa"/>
          </w:tblCellMar>
        </w:tblPrEx>
        <w:tc>
          <w:tcPr>
            <w:tcW w:w="3261"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深圳市华人投资有限公司</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境内非国有法人</w:t>
            </w:r>
          </w:p>
        </w:tc>
        <w:tc>
          <w:tcPr>
            <w:tcW w:w="992" w:type="dxa"/>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4.14%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62,923,500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r>
      <w:tr w:rsidR="00EE7DA4" w:rsidTr="00022B3D">
        <w:tblPrEx>
          <w:tblCellMar>
            <w:top w:w="0" w:type="dxa"/>
            <w:bottom w:w="0" w:type="dxa"/>
          </w:tblCellMar>
        </w:tblPrEx>
        <w:tc>
          <w:tcPr>
            <w:tcW w:w="3261"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金元顺安基金－兴业银行－上海爱建信托－爱建信托欣欣</w:t>
            </w:r>
            <w:r>
              <w:t>7</w:t>
            </w:r>
            <w:r>
              <w:rPr>
                <w:rFonts w:hint="eastAsia"/>
              </w:rPr>
              <w:t>号定向增发事务管理类单一资金信托</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3.91%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59,429,476</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r>
      <w:tr w:rsidR="00EE7DA4" w:rsidTr="00022B3D">
        <w:tblPrEx>
          <w:tblCellMar>
            <w:top w:w="0" w:type="dxa"/>
            <w:bottom w:w="0" w:type="dxa"/>
          </w:tblCellMar>
        </w:tblPrEx>
        <w:tc>
          <w:tcPr>
            <w:tcW w:w="3261"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金鹰基金－工商银行－万向信托－万向信托－星辰</w:t>
            </w:r>
            <w:r>
              <w:t>39</w:t>
            </w:r>
            <w:r>
              <w:rPr>
                <w:rFonts w:hint="eastAsia"/>
              </w:rPr>
              <w:t>号事务管理类单一资金信托</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3.91%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59,429,476</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r>
      <w:tr w:rsidR="00EE7DA4" w:rsidTr="00022B3D">
        <w:tblPrEx>
          <w:tblCellMar>
            <w:top w:w="0" w:type="dxa"/>
            <w:bottom w:w="0" w:type="dxa"/>
          </w:tblCellMar>
        </w:tblPrEx>
        <w:tc>
          <w:tcPr>
            <w:tcW w:w="3261"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华孚时尚股份有限公司－第三期员工持股计划</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1.78%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27,119,969</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r>
      <w:tr w:rsidR="00EE7DA4" w:rsidTr="00022B3D">
        <w:tblPrEx>
          <w:tblCellMar>
            <w:top w:w="0" w:type="dxa"/>
            <w:bottom w:w="0" w:type="dxa"/>
          </w:tblCellMar>
        </w:tblPrEx>
        <w:tc>
          <w:tcPr>
            <w:tcW w:w="3261"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富荣基金－深圳市前海富银城投基金管理有限公司－富荣卓越</w:t>
            </w:r>
            <w:r>
              <w:t>1</w:t>
            </w:r>
            <w:r>
              <w:rPr>
                <w:rFonts w:hint="eastAsia"/>
              </w:rPr>
              <w:t>号单一资产管理计划</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1.77%</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26,927,100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r>
      <w:tr w:rsidR="00EE7DA4" w:rsidTr="00022B3D">
        <w:tblPrEx>
          <w:tblCellMar>
            <w:top w:w="0" w:type="dxa"/>
            <w:bottom w:w="0" w:type="dxa"/>
          </w:tblCellMar>
        </w:tblPrEx>
        <w:tc>
          <w:tcPr>
            <w:tcW w:w="3261"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上海景熙资产管理有限公司－景熙－长阳</w:t>
            </w:r>
            <w:r>
              <w:t>9</w:t>
            </w:r>
            <w:r>
              <w:rPr>
                <w:rFonts w:hint="eastAsia"/>
              </w:rPr>
              <w:t>号私募证券投资基金</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1.76%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26,814,586</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r>
      <w:tr w:rsidR="00EE7DA4" w:rsidTr="00022B3D">
        <w:tblPrEx>
          <w:tblCellMar>
            <w:top w:w="0" w:type="dxa"/>
            <w:bottom w:w="0" w:type="dxa"/>
          </w:tblCellMar>
        </w:tblPrEx>
        <w:tc>
          <w:tcPr>
            <w:tcW w:w="3261"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泰达宏利基金－招商银行－长安国际信托－长安信托</w:t>
            </w:r>
            <w:r>
              <w:t>·</w:t>
            </w:r>
            <w:r>
              <w:rPr>
                <w:rFonts w:hint="eastAsia"/>
              </w:rPr>
              <w:t>华孚色纺定增单一资金信托</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1.71%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25,921,002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r>
      <w:tr w:rsidR="00EE7DA4" w:rsidTr="00022B3D">
        <w:tblPrEx>
          <w:tblCellMar>
            <w:top w:w="0" w:type="dxa"/>
            <w:bottom w:w="0" w:type="dxa"/>
          </w:tblCellMar>
        </w:tblPrEx>
        <w:tc>
          <w:tcPr>
            <w:tcW w:w="3261"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富安达基金－南京银行－厦门国际信托－财富共赢</w:t>
            </w:r>
            <w:r>
              <w:t>16</w:t>
            </w:r>
            <w:r>
              <w:rPr>
                <w:rFonts w:hint="eastAsia"/>
              </w:rPr>
              <w:t>号投资单一资金信托</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1.56%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23,771,790</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p>
        </w:tc>
      </w:tr>
      <w:tr w:rsidR="00EE7DA4">
        <w:tblPrEx>
          <w:tblCellMar>
            <w:top w:w="0" w:type="dxa"/>
            <w:bottom w:w="0" w:type="dxa"/>
          </w:tblCellMar>
        </w:tblPrEx>
        <w:tc>
          <w:tcPr>
            <w:tcW w:w="9570" w:type="dxa"/>
            <w:gridSpan w:val="14"/>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前</w:t>
            </w:r>
            <w:r>
              <w:t>10</w:t>
            </w:r>
            <w:r>
              <w:rPr>
                <w:rFonts w:hint="eastAsia"/>
              </w:rPr>
              <w:t>名无限售条件股东持股情况</w:t>
            </w:r>
          </w:p>
        </w:tc>
      </w:tr>
      <w:tr w:rsidR="00EE7DA4" w:rsidTr="00022B3D">
        <w:tblPrEx>
          <w:tblCellMar>
            <w:top w:w="0" w:type="dxa"/>
            <w:bottom w:w="0" w:type="dxa"/>
          </w:tblCellMar>
        </w:tblPrEx>
        <w:tc>
          <w:tcPr>
            <w:tcW w:w="5954" w:type="dxa"/>
            <w:gridSpan w:val="7"/>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股东名称</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持有无限售条件股份数量</w:t>
            </w:r>
          </w:p>
        </w:tc>
        <w:tc>
          <w:tcPr>
            <w:tcW w:w="234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股份种类</w:t>
            </w:r>
          </w:p>
        </w:tc>
      </w:tr>
      <w:tr w:rsidR="00EE7DA4" w:rsidTr="00022B3D">
        <w:tblPrEx>
          <w:tblCellMar>
            <w:top w:w="0" w:type="dxa"/>
            <w:bottom w:w="0" w:type="dxa"/>
          </w:tblCellMar>
        </w:tblPrEx>
        <w:tc>
          <w:tcPr>
            <w:tcW w:w="5954" w:type="dxa"/>
            <w:gridSpan w:val="7"/>
            <w:vMerge/>
            <w:tcBorders>
              <w:top w:val="single" w:sz="4" w:space="0" w:color="auto"/>
              <w:left w:val="single" w:sz="4" w:space="0" w:color="auto"/>
              <w:bottom w:val="single" w:sz="4" w:space="0" w:color="auto"/>
              <w:right w:val="single" w:sz="4" w:space="0" w:color="auto"/>
            </w:tcBorders>
            <w:vAlign w:val="center"/>
          </w:tcPr>
          <w:p w:rsidR="00EE7DA4" w:rsidRDefault="00EE7DA4">
            <w:pPr>
              <w:jc w:val="cente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EE7DA4" w:rsidRDefault="00EE7DA4">
            <w:pPr>
              <w:jc w:val="cente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股份种类</w:t>
            </w:r>
          </w:p>
        </w:tc>
        <w:tc>
          <w:tcPr>
            <w:tcW w:w="106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pPr>
            <w:r>
              <w:rPr>
                <w:rFonts w:hint="eastAsia"/>
              </w:rPr>
              <w:t>数量</w:t>
            </w:r>
          </w:p>
        </w:tc>
      </w:tr>
      <w:tr w:rsidR="00EE7DA4" w:rsidTr="00022B3D">
        <w:tblPrEx>
          <w:tblCellMar>
            <w:top w:w="0" w:type="dxa"/>
            <w:bottom w:w="0" w:type="dxa"/>
          </w:tblCellMar>
        </w:tblPrEx>
        <w:tc>
          <w:tcPr>
            <w:tcW w:w="5954" w:type="dxa"/>
            <w:gridSpan w:val="7"/>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华孚控股有限公司</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520,705,950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人民币普通股</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520,705,950</w:t>
            </w:r>
          </w:p>
        </w:tc>
      </w:tr>
      <w:tr w:rsidR="00EE7DA4" w:rsidTr="00022B3D">
        <w:tblPrEx>
          <w:tblCellMar>
            <w:top w:w="0" w:type="dxa"/>
            <w:bottom w:w="0" w:type="dxa"/>
          </w:tblCellMar>
        </w:tblPrEx>
        <w:tc>
          <w:tcPr>
            <w:tcW w:w="5954" w:type="dxa"/>
            <w:gridSpan w:val="7"/>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安徽飞亚纺织有限公司</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129,058,312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人民币普通股</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129,058,312</w:t>
            </w:r>
          </w:p>
        </w:tc>
      </w:tr>
      <w:tr w:rsidR="00EE7DA4" w:rsidTr="00022B3D">
        <w:tblPrEx>
          <w:tblCellMar>
            <w:top w:w="0" w:type="dxa"/>
            <w:bottom w:w="0" w:type="dxa"/>
          </w:tblCellMar>
        </w:tblPrEx>
        <w:tc>
          <w:tcPr>
            <w:tcW w:w="5954" w:type="dxa"/>
            <w:gridSpan w:val="7"/>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lastRenderedPageBreak/>
              <w:t>深圳市华人投资有限公司</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62,923,500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人民币普通股</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62,923,500</w:t>
            </w:r>
          </w:p>
        </w:tc>
      </w:tr>
      <w:tr w:rsidR="00EE7DA4" w:rsidTr="00022B3D">
        <w:tblPrEx>
          <w:tblCellMar>
            <w:top w:w="0" w:type="dxa"/>
            <w:bottom w:w="0" w:type="dxa"/>
          </w:tblCellMar>
        </w:tblPrEx>
        <w:tc>
          <w:tcPr>
            <w:tcW w:w="5954" w:type="dxa"/>
            <w:gridSpan w:val="7"/>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金元顺安基金－兴业银行－上海爱建信托－爱建信托欣欣</w:t>
            </w:r>
            <w:r>
              <w:t>7</w:t>
            </w:r>
            <w:r>
              <w:rPr>
                <w:rFonts w:hint="eastAsia"/>
              </w:rPr>
              <w:t>号定向增发事务管理类单一资金信托</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59,429,476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人民币普通股</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59,429,476</w:t>
            </w:r>
          </w:p>
        </w:tc>
      </w:tr>
      <w:tr w:rsidR="00EE7DA4" w:rsidTr="00022B3D">
        <w:tblPrEx>
          <w:tblCellMar>
            <w:top w:w="0" w:type="dxa"/>
            <w:bottom w:w="0" w:type="dxa"/>
          </w:tblCellMar>
        </w:tblPrEx>
        <w:tc>
          <w:tcPr>
            <w:tcW w:w="5954" w:type="dxa"/>
            <w:gridSpan w:val="7"/>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金鹰基金－工商银行－万向信托－万向信托－星辰</w:t>
            </w:r>
            <w:r>
              <w:t>39</w:t>
            </w:r>
            <w:r>
              <w:rPr>
                <w:rFonts w:hint="eastAsia"/>
              </w:rPr>
              <w:t>号事务管理类单一资金信托</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59,429,476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人民币普通股</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59,429,476</w:t>
            </w:r>
          </w:p>
        </w:tc>
      </w:tr>
      <w:tr w:rsidR="00EE7DA4" w:rsidTr="00022B3D">
        <w:tblPrEx>
          <w:tblCellMar>
            <w:top w:w="0" w:type="dxa"/>
            <w:bottom w:w="0" w:type="dxa"/>
          </w:tblCellMar>
        </w:tblPrEx>
        <w:tc>
          <w:tcPr>
            <w:tcW w:w="5954" w:type="dxa"/>
            <w:gridSpan w:val="7"/>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华孚时尚股份有限公司－第三期员工持股计划</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27,119,969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人民币普通股</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27,119,969</w:t>
            </w:r>
          </w:p>
        </w:tc>
      </w:tr>
      <w:tr w:rsidR="00EE7DA4" w:rsidTr="00022B3D">
        <w:tblPrEx>
          <w:tblCellMar>
            <w:top w:w="0" w:type="dxa"/>
            <w:bottom w:w="0" w:type="dxa"/>
          </w:tblCellMar>
        </w:tblPrEx>
        <w:tc>
          <w:tcPr>
            <w:tcW w:w="5954" w:type="dxa"/>
            <w:gridSpan w:val="7"/>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富荣基金－深圳市前海富银城投基金管理有限公司－富荣卓越</w:t>
            </w:r>
            <w:r>
              <w:t>1</w:t>
            </w:r>
            <w:r>
              <w:rPr>
                <w:rFonts w:hint="eastAsia"/>
              </w:rPr>
              <w:t>号单一资产管理计划</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26,927,100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人民币普通股</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26,927,100</w:t>
            </w:r>
          </w:p>
        </w:tc>
      </w:tr>
      <w:tr w:rsidR="00EE7DA4" w:rsidTr="00022B3D">
        <w:tblPrEx>
          <w:tblCellMar>
            <w:top w:w="0" w:type="dxa"/>
            <w:bottom w:w="0" w:type="dxa"/>
          </w:tblCellMar>
        </w:tblPrEx>
        <w:tc>
          <w:tcPr>
            <w:tcW w:w="5954" w:type="dxa"/>
            <w:gridSpan w:val="7"/>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上海景熙资产管理有限公司－景熙－长阳</w:t>
            </w:r>
            <w:r>
              <w:t>9</w:t>
            </w:r>
            <w:r>
              <w:rPr>
                <w:rFonts w:hint="eastAsia"/>
              </w:rPr>
              <w:t>号私募证券投资基金</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26,814,586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人民币普通股</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26,814,586</w:t>
            </w:r>
          </w:p>
        </w:tc>
      </w:tr>
      <w:tr w:rsidR="00EE7DA4" w:rsidTr="00022B3D">
        <w:tblPrEx>
          <w:tblCellMar>
            <w:top w:w="0" w:type="dxa"/>
            <w:bottom w:w="0" w:type="dxa"/>
          </w:tblCellMar>
        </w:tblPrEx>
        <w:tc>
          <w:tcPr>
            <w:tcW w:w="5954" w:type="dxa"/>
            <w:gridSpan w:val="7"/>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泰达宏利基金－招商银行－长安国际信托－长安信托</w:t>
            </w:r>
            <w:r>
              <w:t>·</w:t>
            </w:r>
            <w:r>
              <w:rPr>
                <w:rFonts w:hint="eastAsia"/>
              </w:rPr>
              <w:t>华孚色纺定增单一资金信托</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25,921,002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人民币普通股</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25,921,002</w:t>
            </w:r>
          </w:p>
        </w:tc>
      </w:tr>
      <w:tr w:rsidR="00EE7DA4" w:rsidTr="00022B3D">
        <w:tblPrEx>
          <w:tblCellMar>
            <w:top w:w="0" w:type="dxa"/>
            <w:bottom w:w="0" w:type="dxa"/>
          </w:tblCellMar>
        </w:tblPrEx>
        <w:tc>
          <w:tcPr>
            <w:tcW w:w="5954" w:type="dxa"/>
            <w:gridSpan w:val="7"/>
            <w:tcBorders>
              <w:top w:val="single" w:sz="4" w:space="0" w:color="auto"/>
              <w:left w:val="single" w:sz="4" w:space="0" w:color="auto"/>
              <w:bottom w:val="single" w:sz="4" w:space="0" w:color="auto"/>
              <w:right w:val="single" w:sz="4" w:space="0" w:color="auto"/>
            </w:tcBorders>
            <w:vAlign w:val="center"/>
          </w:tcPr>
          <w:p w:rsidR="00EE7DA4" w:rsidRDefault="00EE7DA4">
            <w:pPr>
              <w:jc w:val="left"/>
            </w:pPr>
            <w:r>
              <w:rPr>
                <w:rFonts w:hint="eastAsia"/>
              </w:rPr>
              <w:t>富安达基金－南京银行－厦门国际信托－财富共赢</w:t>
            </w:r>
            <w:r>
              <w:t>16</w:t>
            </w:r>
            <w:r>
              <w:rPr>
                <w:rFonts w:hint="eastAsia"/>
              </w:rPr>
              <w:t>号投资单一资金信托</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E7DA4" w:rsidRDefault="00EE7DA4">
            <w:pPr>
              <w:jc w:val="right"/>
            </w:pPr>
            <w:r>
              <w:t>23,771,790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人民币普通股</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pPr>
            <w:r>
              <w:t>23,771,790</w:t>
            </w:r>
          </w:p>
        </w:tc>
      </w:tr>
      <w:tr w:rsidR="00EE7DA4" w:rsidTr="00022B3D">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上述股东关联关系或一致行动的说明</w:t>
            </w:r>
          </w:p>
        </w:tc>
        <w:tc>
          <w:tcPr>
            <w:tcW w:w="758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上述股东中华孚控股有限公司、安徽飞亚纺织有限公司、深圳市华人投资有限公司为公司控股股东及一致行动人，华孚时尚股份有限公司</w:t>
            </w:r>
            <w:r>
              <w:t>-</w:t>
            </w:r>
            <w:r>
              <w:rPr>
                <w:rFonts w:hint="eastAsia"/>
              </w:rPr>
              <w:t>第三期员工持股计划为公司员工持股计划专用账户，其他流通股东与控股股东之间不存在关联关系，也不属于一致行动人。未知其他流通股股东之间是否存在关联关系或是否属于一致行动人。</w:t>
            </w:r>
          </w:p>
        </w:tc>
      </w:tr>
      <w:tr w:rsidR="00EE7DA4" w:rsidTr="00022B3D">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pPr>
            <w:r>
              <w:rPr>
                <w:rFonts w:hint="eastAsia"/>
              </w:rPr>
              <w:t>前</w:t>
            </w:r>
            <w:r>
              <w:t>10</w:t>
            </w:r>
            <w:r>
              <w:rPr>
                <w:rFonts w:hint="eastAsia"/>
              </w:rPr>
              <w:t>名股东参与融资融券业务情况说明（如有）</w:t>
            </w:r>
          </w:p>
        </w:tc>
        <w:tc>
          <w:tcPr>
            <w:tcW w:w="758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pPr>
            <w:r>
              <w:rPr>
                <w:rFonts w:hint="eastAsia"/>
              </w:rPr>
              <w:t>华孚控股有限公司、安徽飞亚纺织有限公司、深圳市华人投资有限公司、华孚时尚股份有限公司－第三期员工持股计划通过信用账户持有公司部分股份。</w:t>
            </w:r>
          </w:p>
        </w:tc>
      </w:tr>
    </w:tbl>
    <w:p w:rsidR="00EE7DA4" w:rsidRDefault="00EE7DA4">
      <w:pPr>
        <w:jc w:val="left"/>
      </w:pPr>
      <w:r>
        <w:rPr>
          <w:rFonts w:hint="eastAsia"/>
        </w:rPr>
        <w:t>公司前</w:t>
      </w:r>
      <w:r>
        <w:t>10</w:t>
      </w:r>
      <w:r>
        <w:rPr>
          <w:rFonts w:hint="eastAsia"/>
        </w:rPr>
        <w:t>名普通股股东、前</w:t>
      </w:r>
      <w:r>
        <w:t>10</w:t>
      </w:r>
      <w:r>
        <w:rPr>
          <w:rFonts w:hint="eastAsia"/>
        </w:rPr>
        <w:t>名无限售条件普通股股东在报告期内是否进行约定购回交易</w:t>
      </w:r>
    </w:p>
    <w:p w:rsidR="00EE7DA4" w:rsidRDefault="00EE7DA4">
      <w:pPr>
        <w:jc w:val="left"/>
      </w:pPr>
      <w:r>
        <w:t xml:space="preserve">□ </w:t>
      </w:r>
      <w:r>
        <w:rPr>
          <w:rFonts w:hint="eastAsia"/>
        </w:rPr>
        <w:t>是</w:t>
      </w:r>
      <w:r>
        <w:t xml:space="preserve"> √ </w:t>
      </w:r>
      <w:r>
        <w:rPr>
          <w:rFonts w:hint="eastAsia"/>
        </w:rPr>
        <w:t>否</w:t>
      </w:r>
      <w:r>
        <w:t xml:space="preserve"> </w:t>
      </w:r>
    </w:p>
    <w:p w:rsidR="00EE7DA4" w:rsidRDefault="00EE7DA4">
      <w:pPr>
        <w:jc w:val="left"/>
      </w:pPr>
      <w:r>
        <w:rPr>
          <w:rFonts w:hint="eastAsia"/>
        </w:rPr>
        <w:t>公司前</w:t>
      </w:r>
      <w:r>
        <w:t>10</w:t>
      </w:r>
      <w:r>
        <w:rPr>
          <w:rFonts w:hint="eastAsia"/>
        </w:rPr>
        <w:t>名普通股股东、前</w:t>
      </w:r>
      <w:r>
        <w:t>10</w:t>
      </w:r>
      <w:r>
        <w:rPr>
          <w:rFonts w:hint="eastAsia"/>
        </w:rPr>
        <w:t>名无限售条件普通股股东在报告期内未进行约定购回交易。</w:t>
      </w:r>
    </w:p>
    <w:p w:rsidR="00EE7DA4" w:rsidRDefault="00EE7DA4">
      <w:pPr>
        <w:pStyle w:val="Section"/>
        <w:outlineLvl w:val="2"/>
      </w:pPr>
      <w:r>
        <w:t>2</w:t>
      </w:r>
      <w:r>
        <w:rPr>
          <w:rFonts w:hint="eastAsia"/>
        </w:rPr>
        <w:t>、公司优先股股东总数及前</w:t>
      </w:r>
      <w:r>
        <w:t>10</w:t>
      </w:r>
      <w:r>
        <w:rPr>
          <w:rFonts w:hint="eastAsia"/>
        </w:rPr>
        <w:t>名优先股股东持股情况表</w:t>
      </w:r>
    </w:p>
    <w:p w:rsidR="00EE7DA4" w:rsidRDefault="00EE7DA4">
      <w:pPr>
        <w:jc w:val="left"/>
      </w:pPr>
      <w:r>
        <w:t xml:space="preserve">□ </w:t>
      </w:r>
      <w:r>
        <w:rPr>
          <w:rFonts w:hint="eastAsia"/>
        </w:rPr>
        <w:t>适用</w:t>
      </w:r>
      <w:r>
        <w:t xml:space="preserve"> √ </w:t>
      </w:r>
      <w:r>
        <w:rPr>
          <w:rFonts w:hint="eastAsia"/>
        </w:rPr>
        <w:t>不适用</w:t>
      </w:r>
      <w:r>
        <w:t xml:space="preserve"> </w:t>
      </w:r>
    </w:p>
    <w:p w:rsidR="00EE7DA4" w:rsidRDefault="00EE7DA4">
      <w:pPr>
        <w:jc w:val="left"/>
        <w:sectPr w:rsidR="00EE7DA4">
          <w:pgSz w:w="11906" w:h="16838"/>
          <w:pgMar w:top="1440" w:right="1134" w:bottom="1440" w:left="1134" w:header="851" w:footer="992" w:gutter="0"/>
          <w:cols w:space="425"/>
          <w:docGrid w:type="lines" w:linePitch="312"/>
        </w:sectPr>
      </w:pPr>
    </w:p>
    <w:p w:rsidR="00EE7DA4" w:rsidRDefault="00EE7DA4">
      <w:pPr>
        <w:pStyle w:val="a3"/>
        <w:outlineLvl w:val="0"/>
      </w:pPr>
      <w:bookmarkStart w:id="3" w:name="_Toc300000086"/>
      <w:r>
        <w:rPr>
          <w:rFonts w:hint="eastAsia"/>
        </w:rPr>
        <w:lastRenderedPageBreak/>
        <w:t>第三节</w:t>
      </w:r>
      <w:r>
        <w:t xml:space="preserve"> </w:t>
      </w:r>
      <w:r>
        <w:rPr>
          <w:rFonts w:hint="eastAsia"/>
        </w:rPr>
        <w:t>重要事项</w:t>
      </w:r>
      <w:bookmarkEnd w:id="3"/>
    </w:p>
    <w:p w:rsidR="00EE7DA4" w:rsidRDefault="00EE7DA4">
      <w:pPr>
        <w:pStyle w:val="Chapter"/>
        <w:outlineLvl w:val="1"/>
      </w:pPr>
      <w:r>
        <w:rPr>
          <w:rFonts w:hint="eastAsia"/>
        </w:rPr>
        <w:t>一、报告期主要财务数据、财务指标发生变动的情况及原因</w:t>
      </w:r>
    </w:p>
    <w:p w:rsidR="00EE7DA4" w:rsidRDefault="00EE7DA4">
      <w:pPr>
        <w:jc w:val="left"/>
      </w:pPr>
      <w:r>
        <w:t xml:space="preserve">√ </w:t>
      </w:r>
      <w:r>
        <w:rPr>
          <w:rFonts w:hint="eastAsia"/>
        </w:rPr>
        <w:t>适用</w:t>
      </w:r>
      <w:r>
        <w:t xml:space="preserve"> □ </w:t>
      </w:r>
      <w:r>
        <w:rPr>
          <w:rFonts w:hint="eastAsia"/>
        </w:rPr>
        <w:t>不适用</w:t>
      </w:r>
      <w:r>
        <w:t xml:space="preserve"> </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294"/>
        <w:gridCol w:w="1560"/>
        <w:gridCol w:w="1560"/>
        <w:gridCol w:w="1080"/>
        <w:gridCol w:w="3586"/>
      </w:tblGrid>
      <w:tr w:rsidR="00EE7DA4">
        <w:tc>
          <w:tcPr>
            <w:tcW w:w="2294" w:type="dxa"/>
            <w:shd w:val="clear" w:color="auto" w:fill="FFFFFF"/>
          </w:tcPr>
          <w:p w:rsidR="00EE7DA4" w:rsidRDefault="00EE7DA4">
            <w:pPr>
              <w:autoSpaceDE w:val="0"/>
              <w:autoSpaceDN w:val="0"/>
              <w:adjustRightInd w:val="0"/>
              <w:spacing w:before="0" w:after="0"/>
              <w:jc w:val="left"/>
              <w:rPr>
                <w:rFonts w:eastAsia="Times New Roman"/>
                <w:b/>
                <w:bCs/>
                <w:kern w:val="0"/>
                <w:sz w:val="20"/>
                <w:szCs w:val="20"/>
                <w:lang w:val="zh-CN"/>
              </w:rPr>
            </w:pPr>
            <w:r>
              <w:rPr>
                <w:rFonts w:eastAsia="Times New Roman"/>
                <w:b/>
                <w:bCs/>
                <w:kern w:val="0"/>
                <w:sz w:val="20"/>
                <w:szCs w:val="20"/>
                <w:lang w:val="zh-CN"/>
              </w:rPr>
              <w:t>1.</w:t>
            </w:r>
            <w:r>
              <w:rPr>
                <w:rFonts w:eastAsia="Times New Roman"/>
                <w:bCs/>
                <w:kern w:val="0"/>
                <w:sz w:val="20"/>
                <w:szCs w:val="20"/>
                <w:lang w:val="zh-CN"/>
              </w:rPr>
              <w:t xml:space="preserve"> </w:t>
            </w:r>
            <w:r>
              <w:rPr>
                <w:rFonts w:ascii="宋体" w:hAnsi="宋体" w:cs="宋体" w:hint="eastAsia"/>
                <w:b/>
                <w:bCs/>
                <w:kern w:val="0"/>
                <w:sz w:val="20"/>
                <w:szCs w:val="20"/>
                <w:lang w:val="zh-CN"/>
              </w:rPr>
              <w:t>资产负债表：</w:t>
            </w:r>
          </w:p>
        </w:tc>
        <w:tc>
          <w:tcPr>
            <w:tcW w:w="156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p>
        </w:tc>
        <w:tc>
          <w:tcPr>
            <w:tcW w:w="156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jc w:val="center"/>
              <w:rPr>
                <w:rFonts w:eastAsia="Times New Roman"/>
                <w:kern w:val="0"/>
                <w:sz w:val="20"/>
                <w:lang w:val="zh-CN"/>
              </w:rPr>
            </w:pPr>
            <w:r>
              <w:rPr>
                <w:rFonts w:ascii="宋体" w:hAnsi="宋体" w:cs="宋体" w:hint="eastAsia"/>
                <w:kern w:val="0"/>
                <w:sz w:val="20"/>
                <w:lang w:val="zh-CN"/>
              </w:rPr>
              <w:t>项目</w:t>
            </w:r>
          </w:p>
        </w:tc>
        <w:tc>
          <w:tcPr>
            <w:tcW w:w="1560" w:type="dxa"/>
            <w:shd w:val="clear" w:color="auto" w:fill="FFFFFF"/>
            <w:vAlign w:val="center"/>
          </w:tcPr>
          <w:p w:rsidR="00EE7DA4" w:rsidRDefault="00EE7DA4" w:rsidP="00022B3D">
            <w:pPr>
              <w:autoSpaceDE w:val="0"/>
              <w:autoSpaceDN w:val="0"/>
              <w:adjustRightInd w:val="0"/>
              <w:spacing w:before="0" w:after="0"/>
              <w:jc w:val="center"/>
              <w:rPr>
                <w:rFonts w:eastAsia="Times New Roman"/>
                <w:kern w:val="0"/>
                <w:sz w:val="20"/>
                <w:lang w:val="zh-CN"/>
              </w:rPr>
            </w:pPr>
            <w:r>
              <w:rPr>
                <w:rFonts w:ascii="宋体" w:hAnsi="宋体" w:cs="宋体" w:hint="eastAsia"/>
                <w:kern w:val="0"/>
                <w:sz w:val="20"/>
                <w:lang w:val="zh-CN"/>
              </w:rPr>
              <w:t>期末数</w:t>
            </w:r>
          </w:p>
        </w:tc>
        <w:tc>
          <w:tcPr>
            <w:tcW w:w="1560" w:type="dxa"/>
            <w:shd w:val="clear" w:color="auto" w:fill="FFFFFF"/>
            <w:vAlign w:val="center"/>
          </w:tcPr>
          <w:p w:rsidR="00EE7DA4" w:rsidRDefault="00EE7DA4" w:rsidP="00022B3D">
            <w:pPr>
              <w:autoSpaceDE w:val="0"/>
              <w:autoSpaceDN w:val="0"/>
              <w:adjustRightInd w:val="0"/>
              <w:spacing w:before="0" w:after="0"/>
              <w:jc w:val="center"/>
              <w:rPr>
                <w:rFonts w:eastAsia="Times New Roman"/>
                <w:kern w:val="0"/>
                <w:sz w:val="20"/>
                <w:lang w:val="zh-CN"/>
              </w:rPr>
            </w:pPr>
            <w:r>
              <w:rPr>
                <w:rFonts w:ascii="宋体" w:hAnsi="宋体" w:cs="宋体" w:hint="eastAsia"/>
                <w:kern w:val="0"/>
                <w:sz w:val="20"/>
                <w:lang w:val="zh-CN"/>
              </w:rPr>
              <w:t>期初数</w:t>
            </w:r>
          </w:p>
        </w:tc>
        <w:tc>
          <w:tcPr>
            <w:tcW w:w="1080" w:type="dxa"/>
            <w:shd w:val="clear" w:color="auto" w:fill="FFFFFF"/>
            <w:vAlign w:val="center"/>
          </w:tcPr>
          <w:p w:rsidR="00EE7DA4" w:rsidRDefault="00EE7DA4" w:rsidP="00022B3D">
            <w:pPr>
              <w:autoSpaceDE w:val="0"/>
              <w:autoSpaceDN w:val="0"/>
              <w:adjustRightInd w:val="0"/>
              <w:spacing w:before="0" w:after="0"/>
              <w:jc w:val="center"/>
              <w:rPr>
                <w:rFonts w:eastAsia="Times New Roman"/>
                <w:kern w:val="0"/>
                <w:sz w:val="20"/>
                <w:lang w:val="zh-CN"/>
              </w:rPr>
            </w:pPr>
            <w:r>
              <w:rPr>
                <w:rFonts w:ascii="宋体" w:hAnsi="宋体" w:cs="宋体" w:hint="eastAsia"/>
                <w:kern w:val="0"/>
                <w:sz w:val="20"/>
                <w:lang w:val="zh-CN"/>
              </w:rPr>
              <w:t>变动比率</w:t>
            </w:r>
          </w:p>
        </w:tc>
        <w:tc>
          <w:tcPr>
            <w:tcW w:w="3586" w:type="dxa"/>
            <w:shd w:val="clear" w:color="auto" w:fill="FFFFFF"/>
            <w:vAlign w:val="center"/>
          </w:tcPr>
          <w:p w:rsidR="00EE7DA4" w:rsidRDefault="00EE7DA4" w:rsidP="00022B3D">
            <w:pPr>
              <w:autoSpaceDE w:val="0"/>
              <w:autoSpaceDN w:val="0"/>
              <w:adjustRightInd w:val="0"/>
              <w:spacing w:before="0" w:after="0"/>
              <w:jc w:val="center"/>
              <w:rPr>
                <w:rFonts w:eastAsia="Times New Roman"/>
                <w:kern w:val="0"/>
                <w:sz w:val="20"/>
                <w:lang w:val="zh-CN"/>
              </w:rPr>
            </w:pPr>
            <w:r>
              <w:rPr>
                <w:rFonts w:ascii="宋体" w:hAnsi="宋体" w:cs="宋体" w:hint="eastAsia"/>
                <w:kern w:val="0"/>
                <w:sz w:val="20"/>
                <w:lang w:val="zh-CN"/>
              </w:rPr>
              <w:t>变动原因</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交易性金融资产</w:t>
            </w:r>
          </w:p>
        </w:tc>
        <w:tc>
          <w:tcPr>
            <w:tcW w:w="1560" w:type="dxa"/>
            <w:shd w:val="clear" w:color="auto" w:fill="FFFFFF"/>
            <w:vAlign w:val="center"/>
          </w:tcPr>
          <w:p w:rsidR="00EE7DA4" w:rsidRDefault="00022B3D"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286,864,413.45 </w:t>
            </w:r>
          </w:p>
        </w:tc>
        <w:tc>
          <w:tcPr>
            <w:tcW w:w="1560" w:type="dxa"/>
            <w:shd w:val="clear" w:color="auto" w:fill="FFFFFF"/>
            <w:vAlign w:val="center"/>
          </w:tcPr>
          <w:p w:rsidR="00EE7DA4" w:rsidRDefault="00022B3D"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597,752,485.16 </w:t>
            </w:r>
          </w:p>
        </w:tc>
        <w:tc>
          <w:tcPr>
            <w:tcW w:w="1080" w:type="dxa"/>
            <w:shd w:val="clear" w:color="auto" w:fill="FFFFFF"/>
            <w:vAlign w:val="center"/>
          </w:tcPr>
          <w:p w:rsidR="00EE7DA4" w:rsidRDefault="00EE7DA4"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-52.01%</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主要系期末理财产品减少所致。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其他非流动资产</w:t>
            </w:r>
          </w:p>
        </w:tc>
        <w:tc>
          <w:tcPr>
            <w:tcW w:w="1560" w:type="dxa"/>
            <w:shd w:val="clear" w:color="auto" w:fill="FFFFFF"/>
            <w:vAlign w:val="center"/>
          </w:tcPr>
          <w:p w:rsidR="00EE7DA4" w:rsidRDefault="00022B3D"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195,299,495.89 </w:t>
            </w:r>
          </w:p>
        </w:tc>
        <w:tc>
          <w:tcPr>
            <w:tcW w:w="1560" w:type="dxa"/>
            <w:shd w:val="clear" w:color="auto" w:fill="FFFFFF"/>
            <w:vAlign w:val="center"/>
          </w:tcPr>
          <w:p w:rsidR="00EE7DA4" w:rsidRDefault="00022B3D"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141,320,594.07 </w:t>
            </w:r>
          </w:p>
        </w:tc>
        <w:tc>
          <w:tcPr>
            <w:tcW w:w="1080" w:type="dxa"/>
            <w:shd w:val="clear" w:color="auto" w:fill="FFFFFF"/>
            <w:vAlign w:val="center"/>
          </w:tcPr>
          <w:p w:rsidR="00EE7DA4" w:rsidRDefault="00EE7DA4"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38.20%</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主要系预付工程款增加所致。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应付票据</w:t>
            </w:r>
          </w:p>
        </w:tc>
        <w:tc>
          <w:tcPr>
            <w:tcW w:w="1560" w:type="dxa"/>
            <w:shd w:val="clear" w:color="auto" w:fill="FFFFFF"/>
            <w:vAlign w:val="center"/>
          </w:tcPr>
          <w:p w:rsidR="00EE7DA4" w:rsidRDefault="00022B3D"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106,981,366.39 </w:t>
            </w:r>
          </w:p>
        </w:tc>
        <w:tc>
          <w:tcPr>
            <w:tcW w:w="1560" w:type="dxa"/>
            <w:shd w:val="clear" w:color="auto" w:fill="FFFFFF"/>
            <w:vAlign w:val="center"/>
          </w:tcPr>
          <w:p w:rsidR="00EE7DA4" w:rsidRDefault="00022B3D"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67,790,773.32 </w:t>
            </w:r>
          </w:p>
        </w:tc>
        <w:tc>
          <w:tcPr>
            <w:tcW w:w="1080" w:type="dxa"/>
            <w:shd w:val="clear" w:color="auto" w:fill="FFFFFF"/>
            <w:vAlign w:val="center"/>
          </w:tcPr>
          <w:p w:rsidR="00EE7DA4" w:rsidRDefault="00EE7DA4"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57.81%</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主要系银行承兑汇票增加所致。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应交税费</w:t>
            </w:r>
          </w:p>
        </w:tc>
        <w:tc>
          <w:tcPr>
            <w:tcW w:w="1560" w:type="dxa"/>
            <w:shd w:val="clear" w:color="auto" w:fill="FFFFFF"/>
            <w:vAlign w:val="center"/>
          </w:tcPr>
          <w:p w:rsidR="00EE7DA4" w:rsidRDefault="00022B3D"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15,667,531.45 </w:t>
            </w:r>
          </w:p>
        </w:tc>
        <w:tc>
          <w:tcPr>
            <w:tcW w:w="1560" w:type="dxa"/>
            <w:shd w:val="clear" w:color="auto" w:fill="FFFFFF"/>
            <w:vAlign w:val="center"/>
          </w:tcPr>
          <w:p w:rsidR="00EE7DA4" w:rsidRDefault="00022B3D"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74,677,670.91 </w:t>
            </w:r>
          </w:p>
        </w:tc>
        <w:tc>
          <w:tcPr>
            <w:tcW w:w="1080" w:type="dxa"/>
            <w:shd w:val="clear" w:color="auto" w:fill="FFFFFF"/>
            <w:vAlign w:val="center"/>
          </w:tcPr>
          <w:p w:rsidR="00EE7DA4" w:rsidRDefault="00EE7DA4"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-79.02%</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主要系期末应交未交所得税余额减少所致。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递延收益</w:t>
            </w:r>
          </w:p>
        </w:tc>
        <w:tc>
          <w:tcPr>
            <w:tcW w:w="1560" w:type="dxa"/>
            <w:shd w:val="clear" w:color="auto" w:fill="FFFFFF"/>
            <w:vAlign w:val="center"/>
          </w:tcPr>
          <w:p w:rsidR="00EE7DA4" w:rsidRDefault="00022B3D"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167,620,895.38 </w:t>
            </w:r>
          </w:p>
        </w:tc>
        <w:tc>
          <w:tcPr>
            <w:tcW w:w="1560" w:type="dxa"/>
            <w:shd w:val="clear" w:color="auto" w:fill="FFFFFF"/>
            <w:vAlign w:val="center"/>
          </w:tcPr>
          <w:p w:rsidR="00EE7DA4" w:rsidRDefault="00022B3D"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100,148,483.72 </w:t>
            </w:r>
          </w:p>
        </w:tc>
        <w:tc>
          <w:tcPr>
            <w:tcW w:w="1080" w:type="dxa"/>
            <w:shd w:val="clear" w:color="auto" w:fill="FFFFFF"/>
            <w:vAlign w:val="center"/>
          </w:tcPr>
          <w:p w:rsidR="00EE7DA4" w:rsidRDefault="00EE7DA4" w:rsidP="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67.37%</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主要系本期递延收益增加所致。</w:t>
            </w:r>
          </w:p>
        </w:tc>
      </w:tr>
      <w:tr w:rsidR="00EE7DA4">
        <w:tc>
          <w:tcPr>
            <w:tcW w:w="2294" w:type="dxa"/>
            <w:shd w:val="clear" w:color="auto" w:fill="FFFFFF"/>
          </w:tcPr>
          <w:p w:rsidR="00EE7DA4" w:rsidRDefault="00EE7DA4">
            <w:pPr>
              <w:autoSpaceDE w:val="0"/>
              <w:autoSpaceDN w:val="0"/>
              <w:adjustRightInd w:val="0"/>
              <w:spacing w:before="0" w:after="0"/>
              <w:jc w:val="left"/>
              <w:rPr>
                <w:rFonts w:eastAsia="Times New Roman"/>
                <w:b/>
                <w:kern w:val="0"/>
                <w:sz w:val="21"/>
                <w:lang w:val="zh-CN"/>
              </w:rPr>
            </w:pPr>
            <w:r>
              <w:rPr>
                <w:rFonts w:eastAsia="Times New Roman"/>
                <w:b/>
                <w:kern w:val="0"/>
                <w:sz w:val="20"/>
                <w:lang w:val="zh-CN"/>
              </w:rPr>
              <w:t>2.</w:t>
            </w:r>
            <w:r>
              <w:rPr>
                <w:rFonts w:eastAsia="Times New Roman"/>
                <w:kern w:val="0"/>
                <w:sz w:val="21"/>
                <w:lang w:val="zh-CN"/>
              </w:rPr>
              <w:t xml:space="preserve"> </w:t>
            </w:r>
            <w:r>
              <w:rPr>
                <w:rFonts w:ascii="宋体" w:hAnsi="宋体" w:cs="宋体" w:hint="eastAsia"/>
                <w:b/>
                <w:kern w:val="0"/>
                <w:sz w:val="21"/>
                <w:lang w:val="zh-CN"/>
              </w:rPr>
              <w:t>利润表：</w:t>
            </w:r>
          </w:p>
        </w:tc>
        <w:tc>
          <w:tcPr>
            <w:tcW w:w="156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p>
        </w:tc>
        <w:tc>
          <w:tcPr>
            <w:tcW w:w="156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p>
        </w:tc>
      </w:tr>
      <w:tr w:rsidR="00EE7DA4">
        <w:tc>
          <w:tcPr>
            <w:tcW w:w="2294" w:type="dxa"/>
            <w:shd w:val="clear" w:color="auto" w:fill="FFFFFF"/>
          </w:tcPr>
          <w:p w:rsidR="00EE7DA4" w:rsidRDefault="00EE7DA4">
            <w:pPr>
              <w:autoSpaceDE w:val="0"/>
              <w:autoSpaceDN w:val="0"/>
              <w:adjustRightInd w:val="0"/>
              <w:spacing w:before="0" w:after="0"/>
              <w:jc w:val="left"/>
              <w:rPr>
                <w:rFonts w:eastAsia="Times New Roman"/>
                <w:kern w:val="0"/>
                <w:sz w:val="21"/>
                <w:lang w:val="zh-CN"/>
              </w:rPr>
            </w:pPr>
          </w:p>
        </w:tc>
        <w:tc>
          <w:tcPr>
            <w:tcW w:w="1560" w:type="dxa"/>
            <w:shd w:val="clear" w:color="auto" w:fill="FFFFFF"/>
          </w:tcPr>
          <w:p w:rsidR="00EE7DA4" w:rsidRDefault="00EE7DA4">
            <w:pPr>
              <w:autoSpaceDE w:val="0"/>
              <w:autoSpaceDN w:val="0"/>
              <w:adjustRightInd w:val="0"/>
              <w:spacing w:before="0" w:after="0"/>
              <w:jc w:val="right"/>
              <w:rPr>
                <w:rFonts w:eastAsia="Times New Roman"/>
                <w:kern w:val="0"/>
                <w:sz w:val="24"/>
                <w:lang w:val="zh-CN"/>
              </w:rPr>
            </w:pPr>
          </w:p>
        </w:tc>
        <w:tc>
          <w:tcPr>
            <w:tcW w:w="1560" w:type="dxa"/>
            <w:shd w:val="clear" w:color="auto" w:fill="FFFFFF"/>
          </w:tcPr>
          <w:p w:rsidR="00EE7DA4" w:rsidRDefault="00EE7DA4">
            <w:pPr>
              <w:autoSpaceDE w:val="0"/>
              <w:autoSpaceDN w:val="0"/>
              <w:adjustRightInd w:val="0"/>
              <w:spacing w:before="0" w:after="0"/>
              <w:jc w:val="right"/>
              <w:rPr>
                <w:rFonts w:eastAsia="Times New Roman"/>
                <w:kern w:val="0"/>
                <w:sz w:val="24"/>
                <w:lang w:val="zh-CN"/>
              </w:rPr>
            </w:pP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4"/>
                <w:lang w:val="zh-CN"/>
              </w:rPr>
            </w:pP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4"/>
                <w:lang w:val="zh-CN"/>
              </w:rPr>
            </w:pP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jc w:val="center"/>
              <w:rPr>
                <w:rFonts w:eastAsia="Times New Roman"/>
                <w:kern w:val="0"/>
                <w:sz w:val="20"/>
                <w:lang w:val="zh-CN"/>
              </w:rPr>
            </w:pPr>
            <w:r>
              <w:rPr>
                <w:rFonts w:ascii="宋体" w:hAnsi="宋体" w:cs="宋体" w:hint="eastAsia"/>
                <w:kern w:val="0"/>
                <w:sz w:val="20"/>
                <w:lang w:val="zh-CN"/>
              </w:rPr>
              <w:t>项目</w:t>
            </w:r>
          </w:p>
        </w:tc>
        <w:tc>
          <w:tcPr>
            <w:tcW w:w="1560" w:type="dxa"/>
            <w:shd w:val="clear" w:color="auto" w:fill="FFFFFF"/>
            <w:vAlign w:val="center"/>
          </w:tcPr>
          <w:p w:rsidR="00EE7DA4" w:rsidRDefault="00EE7DA4" w:rsidP="00022B3D">
            <w:pPr>
              <w:autoSpaceDE w:val="0"/>
              <w:autoSpaceDN w:val="0"/>
              <w:adjustRightInd w:val="0"/>
              <w:spacing w:before="0" w:after="0"/>
              <w:jc w:val="center"/>
              <w:rPr>
                <w:rFonts w:eastAsia="Times New Roman"/>
                <w:kern w:val="0"/>
                <w:sz w:val="20"/>
                <w:lang w:val="zh-CN"/>
              </w:rPr>
            </w:pPr>
            <w:r>
              <w:rPr>
                <w:rFonts w:ascii="宋体" w:hAnsi="宋体" w:cs="宋体" w:hint="eastAsia"/>
                <w:kern w:val="0"/>
                <w:sz w:val="20"/>
                <w:lang w:val="zh-CN"/>
              </w:rPr>
              <w:t>本期发生额</w:t>
            </w:r>
          </w:p>
        </w:tc>
        <w:tc>
          <w:tcPr>
            <w:tcW w:w="1560" w:type="dxa"/>
            <w:shd w:val="clear" w:color="auto" w:fill="FFFFFF"/>
            <w:vAlign w:val="center"/>
          </w:tcPr>
          <w:p w:rsidR="00EE7DA4" w:rsidRDefault="00EE7DA4" w:rsidP="00022B3D">
            <w:pPr>
              <w:autoSpaceDE w:val="0"/>
              <w:autoSpaceDN w:val="0"/>
              <w:adjustRightInd w:val="0"/>
              <w:spacing w:before="0" w:after="0"/>
              <w:jc w:val="center"/>
              <w:rPr>
                <w:rFonts w:eastAsia="Times New Roman"/>
                <w:kern w:val="0"/>
                <w:sz w:val="20"/>
                <w:lang w:val="zh-CN"/>
              </w:rPr>
            </w:pPr>
            <w:r>
              <w:rPr>
                <w:rFonts w:ascii="宋体" w:hAnsi="宋体" w:cs="宋体" w:hint="eastAsia"/>
                <w:kern w:val="0"/>
                <w:sz w:val="20"/>
                <w:lang w:val="zh-CN"/>
              </w:rPr>
              <w:t>上期发生额</w:t>
            </w:r>
          </w:p>
        </w:tc>
        <w:tc>
          <w:tcPr>
            <w:tcW w:w="1080" w:type="dxa"/>
            <w:shd w:val="clear" w:color="auto" w:fill="FFFFFF"/>
            <w:vAlign w:val="center"/>
          </w:tcPr>
          <w:p w:rsidR="00EE7DA4" w:rsidRDefault="00EE7DA4" w:rsidP="00022B3D">
            <w:pPr>
              <w:autoSpaceDE w:val="0"/>
              <w:autoSpaceDN w:val="0"/>
              <w:adjustRightInd w:val="0"/>
              <w:spacing w:before="0" w:after="0"/>
              <w:jc w:val="center"/>
              <w:rPr>
                <w:rFonts w:eastAsia="Times New Roman"/>
                <w:kern w:val="0"/>
                <w:sz w:val="20"/>
                <w:lang w:val="zh-CN"/>
              </w:rPr>
            </w:pPr>
            <w:r>
              <w:rPr>
                <w:rFonts w:ascii="宋体" w:hAnsi="宋体" w:cs="宋体" w:hint="eastAsia"/>
                <w:kern w:val="0"/>
                <w:sz w:val="20"/>
                <w:lang w:val="zh-CN"/>
              </w:rPr>
              <w:t>变动比率</w:t>
            </w:r>
          </w:p>
        </w:tc>
        <w:tc>
          <w:tcPr>
            <w:tcW w:w="3586" w:type="dxa"/>
            <w:shd w:val="clear" w:color="auto" w:fill="FFFFFF"/>
            <w:vAlign w:val="center"/>
          </w:tcPr>
          <w:p w:rsidR="00EE7DA4" w:rsidRDefault="00EE7DA4" w:rsidP="00022B3D">
            <w:pPr>
              <w:autoSpaceDE w:val="0"/>
              <w:autoSpaceDN w:val="0"/>
              <w:adjustRightInd w:val="0"/>
              <w:spacing w:before="0" w:after="0"/>
              <w:jc w:val="center"/>
              <w:rPr>
                <w:rFonts w:eastAsia="Times New Roman"/>
                <w:kern w:val="0"/>
                <w:sz w:val="20"/>
                <w:lang w:val="zh-CN"/>
              </w:rPr>
            </w:pPr>
            <w:r>
              <w:rPr>
                <w:rFonts w:ascii="宋体" w:hAnsi="宋体" w:cs="宋体" w:hint="eastAsia"/>
                <w:kern w:val="0"/>
                <w:sz w:val="20"/>
                <w:lang w:val="zh-CN"/>
              </w:rPr>
              <w:t>变动原因</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营业总收入</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2,306,051,643.44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3,634,310,612.28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-36.55%</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主要系本期销售业务量下降所致。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营业成本</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2,169,052,847.58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3,254,753,101.89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-33.36%</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主要系本期销售业务量下降所致。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销售费用</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32,155,535.93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55,666,004.02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-42.23%</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主要系本期物流费用减少所致。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研发费用</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22,725,228.36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17,033,582.96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33.41%</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主要系本期研发投入增加所致。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财务费用</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61,331,889.51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94,110,134.75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-34.83%</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主要系本期汇兑损益变动所致。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其他收益</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9,097,302.03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65,618,661.25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-86.14%</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主要系本期政补贴减少所致。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公允价值变动损益</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3,748,209.67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7,503,945.00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-50.05%</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主要系期货公允价值变动所致。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资产减值损失</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-397,309.21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1,574,058.90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-125.24%</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主要系会计政策变更所致。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营业外收入</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4,882,746.02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1,416,166.03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244.79%</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主要系本期合同违约金收入增加所致。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营业外支出</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579,295.60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390,229.10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48.45%</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主要系本期对外捐赠增加所致。</w:t>
            </w:r>
          </w:p>
        </w:tc>
      </w:tr>
      <w:tr w:rsidR="00EE7DA4" w:rsidTr="00022B3D">
        <w:tc>
          <w:tcPr>
            <w:tcW w:w="2294" w:type="dxa"/>
            <w:shd w:val="clear" w:color="auto" w:fill="FFFFFF"/>
            <w:vAlign w:val="center"/>
          </w:tcPr>
          <w:p w:rsidR="00EE7DA4" w:rsidRDefault="00EE7DA4" w:rsidP="00022B3D">
            <w:pPr>
              <w:autoSpaceDE w:val="0"/>
              <w:autoSpaceDN w:val="0"/>
              <w:adjustRightInd w:val="0"/>
              <w:spacing w:before="0" w:after="0"/>
              <w:rPr>
                <w:rFonts w:eastAsia="Times New Roman"/>
                <w:kern w:val="0"/>
                <w:sz w:val="20"/>
                <w:lang w:val="zh-CN"/>
              </w:rPr>
            </w:pPr>
            <w:r>
              <w:rPr>
                <w:rFonts w:ascii="宋体" w:hAnsi="宋体" w:cs="宋体" w:hint="eastAsia"/>
                <w:kern w:val="0"/>
                <w:sz w:val="20"/>
                <w:lang w:val="zh-CN"/>
              </w:rPr>
              <w:t>所得税费用</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7,945,898.33 </w:t>
            </w:r>
          </w:p>
        </w:tc>
        <w:tc>
          <w:tcPr>
            <w:tcW w:w="1560" w:type="dxa"/>
            <w:shd w:val="clear" w:color="auto" w:fill="FFFFFF"/>
          </w:tcPr>
          <w:p w:rsidR="00EE7DA4" w:rsidRDefault="00022B3D">
            <w:pPr>
              <w:autoSpaceDE w:val="0"/>
              <w:autoSpaceDN w:val="0"/>
              <w:adjustRightInd w:val="0"/>
              <w:spacing w:before="0" w:after="0"/>
              <w:jc w:val="right"/>
              <w:rPr>
                <w:rFonts w:eastAsia="Times New Roman"/>
                <w:kern w:val="0"/>
                <w:sz w:val="20"/>
                <w:lang w:val="zh-CN"/>
              </w:rPr>
            </w:pPr>
            <w:r>
              <w:rPr>
                <w:rFonts w:eastAsia="Times New Roman"/>
                <w:kern w:val="0"/>
                <w:sz w:val="20"/>
                <w:lang w:val="zh-CN"/>
              </w:rPr>
              <w:t xml:space="preserve">    </w:t>
            </w:r>
            <w:r w:rsidR="00EE7DA4">
              <w:rPr>
                <w:rFonts w:eastAsia="Times New Roman"/>
                <w:kern w:val="0"/>
                <w:sz w:val="20"/>
                <w:lang w:val="zh-CN"/>
              </w:rPr>
              <w:t xml:space="preserve">13,382,944.56 </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r>
              <w:rPr>
                <w:rFonts w:eastAsia="Times New Roman"/>
                <w:kern w:val="0"/>
                <w:sz w:val="20"/>
                <w:lang w:val="zh-CN"/>
              </w:rPr>
              <w:t>-40.63%</w:t>
            </w: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ascii="宋体" w:hAnsi="宋体" w:cs="宋体" w:hint="eastAsia"/>
                <w:kern w:val="0"/>
                <w:sz w:val="20"/>
                <w:lang w:val="zh-CN"/>
              </w:rPr>
              <w:t>主要系本期利润额下降，致本期企业所得税费用相应减少所致。</w:t>
            </w:r>
          </w:p>
        </w:tc>
      </w:tr>
      <w:tr w:rsidR="00EE7DA4">
        <w:tc>
          <w:tcPr>
            <w:tcW w:w="5414" w:type="dxa"/>
            <w:gridSpan w:val="3"/>
            <w:shd w:val="clear" w:color="auto" w:fill="FFFFFF"/>
          </w:tcPr>
          <w:p w:rsidR="00EE7DA4" w:rsidRDefault="00EE7DA4">
            <w:pPr>
              <w:autoSpaceDE w:val="0"/>
              <w:autoSpaceDN w:val="0"/>
              <w:adjustRightInd w:val="0"/>
              <w:spacing w:before="0" w:after="0"/>
              <w:jc w:val="left"/>
              <w:rPr>
                <w:rFonts w:eastAsia="Times New Roman"/>
                <w:b/>
                <w:kern w:val="0"/>
                <w:sz w:val="21"/>
                <w:lang w:val="zh-CN"/>
              </w:rPr>
            </w:pPr>
            <w:r>
              <w:rPr>
                <w:rFonts w:eastAsia="Times New Roman"/>
                <w:b/>
                <w:kern w:val="0"/>
                <w:sz w:val="20"/>
                <w:lang w:val="zh-CN"/>
              </w:rPr>
              <w:t>3.</w:t>
            </w:r>
            <w:r>
              <w:rPr>
                <w:rFonts w:ascii="宋体" w:hAnsi="宋体" w:cs="宋体" w:hint="eastAsia"/>
                <w:b/>
                <w:kern w:val="0"/>
                <w:sz w:val="21"/>
                <w:lang w:val="zh-CN"/>
              </w:rPr>
              <w:t>现金流量表变动原因说明</w:t>
            </w:r>
            <w:r>
              <w:rPr>
                <w:rFonts w:eastAsia="Times New Roman"/>
                <w:b/>
                <w:kern w:val="0"/>
                <w:sz w:val="21"/>
                <w:lang w:val="zh-CN"/>
              </w:rPr>
              <w:t>:</w:t>
            </w:r>
          </w:p>
        </w:tc>
        <w:tc>
          <w:tcPr>
            <w:tcW w:w="1080" w:type="dxa"/>
            <w:shd w:val="clear" w:color="auto" w:fill="FFFFFF"/>
          </w:tcPr>
          <w:p w:rsidR="00EE7DA4" w:rsidRDefault="00EE7DA4">
            <w:pPr>
              <w:autoSpaceDE w:val="0"/>
              <w:autoSpaceDN w:val="0"/>
              <w:adjustRightInd w:val="0"/>
              <w:spacing w:before="0" w:after="0"/>
              <w:jc w:val="right"/>
              <w:rPr>
                <w:rFonts w:eastAsia="Times New Roman"/>
                <w:kern w:val="0"/>
                <w:sz w:val="20"/>
                <w:lang w:val="zh-CN"/>
              </w:rPr>
            </w:pPr>
          </w:p>
        </w:tc>
        <w:tc>
          <w:tcPr>
            <w:tcW w:w="3586" w:type="dxa"/>
            <w:shd w:val="clear" w:color="auto" w:fill="FFFFFF"/>
          </w:tcPr>
          <w:p w:rsidR="00EE7DA4" w:rsidRDefault="00EE7DA4">
            <w:pPr>
              <w:autoSpaceDE w:val="0"/>
              <w:autoSpaceDN w:val="0"/>
              <w:adjustRightInd w:val="0"/>
              <w:spacing w:before="0" w:after="0"/>
              <w:jc w:val="left"/>
              <w:rPr>
                <w:rFonts w:eastAsia="Times New Roman"/>
                <w:kern w:val="0"/>
                <w:sz w:val="20"/>
                <w:lang w:val="zh-CN"/>
              </w:rPr>
            </w:pPr>
          </w:p>
        </w:tc>
      </w:tr>
      <w:tr w:rsidR="00EE7DA4">
        <w:tc>
          <w:tcPr>
            <w:tcW w:w="10080" w:type="dxa"/>
            <w:gridSpan w:val="5"/>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eastAsia="Times New Roman"/>
                <w:kern w:val="0"/>
                <w:sz w:val="20"/>
                <w:lang w:val="zh-CN"/>
              </w:rPr>
              <w:t>1</w:t>
            </w:r>
            <w:r>
              <w:rPr>
                <w:rFonts w:ascii="宋体" w:hAnsi="宋体" w:cs="宋体" w:hint="eastAsia"/>
                <w:kern w:val="0"/>
                <w:sz w:val="20"/>
                <w:lang w:val="zh-CN"/>
              </w:rPr>
              <w:t>、本期经营活动产生的现金流量净额为</w:t>
            </w:r>
            <w:r>
              <w:rPr>
                <w:rFonts w:eastAsia="Times New Roman"/>
                <w:kern w:val="0"/>
                <w:sz w:val="20"/>
                <w:lang w:val="zh-CN"/>
              </w:rPr>
              <w:t>375,254,214.61</w:t>
            </w:r>
            <w:r>
              <w:rPr>
                <w:rFonts w:ascii="宋体" w:hAnsi="宋体" w:cs="宋体" w:hint="eastAsia"/>
                <w:kern w:val="0"/>
                <w:sz w:val="20"/>
                <w:lang w:val="zh-CN"/>
              </w:rPr>
              <w:t>元，增幅为</w:t>
            </w:r>
            <w:r>
              <w:rPr>
                <w:rFonts w:eastAsia="Times New Roman"/>
                <w:kern w:val="0"/>
                <w:sz w:val="20"/>
                <w:lang w:val="zh-CN"/>
              </w:rPr>
              <w:t>898.39%</w:t>
            </w:r>
            <w:r>
              <w:rPr>
                <w:rFonts w:ascii="宋体" w:hAnsi="宋体" w:cs="宋体" w:hint="eastAsia"/>
                <w:kern w:val="0"/>
                <w:sz w:val="20"/>
                <w:lang w:val="zh-CN"/>
              </w:rPr>
              <w:t>，主要系本期回款增加所致。</w:t>
            </w:r>
          </w:p>
        </w:tc>
      </w:tr>
      <w:tr w:rsidR="00EE7DA4">
        <w:tc>
          <w:tcPr>
            <w:tcW w:w="10080" w:type="dxa"/>
            <w:gridSpan w:val="5"/>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eastAsia="Times New Roman"/>
                <w:kern w:val="0"/>
                <w:sz w:val="20"/>
                <w:lang w:val="zh-CN"/>
              </w:rPr>
              <w:t>2</w:t>
            </w:r>
            <w:r>
              <w:rPr>
                <w:rFonts w:ascii="宋体" w:hAnsi="宋体" w:cs="宋体" w:hint="eastAsia"/>
                <w:kern w:val="0"/>
                <w:sz w:val="20"/>
                <w:lang w:val="zh-CN"/>
              </w:rPr>
              <w:t>、本期投资活动产生的现金流量净额为</w:t>
            </w:r>
            <w:r>
              <w:rPr>
                <w:rFonts w:eastAsia="Times New Roman"/>
                <w:kern w:val="0"/>
                <w:sz w:val="20"/>
                <w:lang w:val="zh-CN"/>
              </w:rPr>
              <w:t>94,682,698.62</w:t>
            </w:r>
            <w:r>
              <w:rPr>
                <w:rFonts w:ascii="宋体" w:hAnsi="宋体" w:cs="宋体" w:hint="eastAsia"/>
                <w:kern w:val="0"/>
                <w:sz w:val="20"/>
                <w:lang w:val="zh-CN"/>
              </w:rPr>
              <w:t>元，减幅为</w:t>
            </w:r>
            <w:r>
              <w:rPr>
                <w:rFonts w:eastAsia="Times New Roman"/>
                <w:kern w:val="0"/>
                <w:sz w:val="20"/>
                <w:lang w:val="zh-CN"/>
              </w:rPr>
              <w:t>196.65%</w:t>
            </w:r>
            <w:r>
              <w:rPr>
                <w:rFonts w:ascii="宋体" w:hAnsi="宋体" w:cs="宋体" w:hint="eastAsia"/>
                <w:kern w:val="0"/>
                <w:sz w:val="20"/>
                <w:lang w:val="zh-CN"/>
              </w:rPr>
              <w:t>，主要系本期理财产品到期回款所致。</w:t>
            </w:r>
          </w:p>
        </w:tc>
      </w:tr>
      <w:tr w:rsidR="00EE7DA4">
        <w:tc>
          <w:tcPr>
            <w:tcW w:w="10080" w:type="dxa"/>
            <w:gridSpan w:val="5"/>
            <w:shd w:val="clear" w:color="auto" w:fill="FFFFFF"/>
          </w:tcPr>
          <w:p w:rsidR="00EE7DA4" w:rsidRDefault="00EE7DA4">
            <w:pPr>
              <w:autoSpaceDE w:val="0"/>
              <w:autoSpaceDN w:val="0"/>
              <w:adjustRightInd w:val="0"/>
              <w:spacing w:before="0" w:after="0"/>
              <w:jc w:val="left"/>
              <w:rPr>
                <w:rFonts w:eastAsia="Times New Roman"/>
                <w:kern w:val="0"/>
                <w:sz w:val="20"/>
                <w:lang w:val="zh-CN"/>
              </w:rPr>
            </w:pPr>
            <w:r>
              <w:rPr>
                <w:rFonts w:eastAsia="Times New Roman"/>
                <w:kern w:val="0"/>
                <w:sz w:val="20"/>
                <w:lang w:val="zh-CN"/>
              </w:rPr>
              <w:t>3</w:t>
            </w:r>
            <w:r>
              <w:rPr>
                <w:rFonts w:ascii="宋体" w:hAnsi="宋体" w:cs="宋体" w:hint="eastAsia"/>
                <w:kern w:val="0"/>
                <w:sz w:val="20"/>
                <w:lang w:val="zh-CN"/>
              </w:rPr>
              <w:t>、本期筹资活动产生的现金流量净额为</w:t>
            </w:r>
            <w:r>
              <w:rPr>
                <w:rFonts w:eastAsia="Times New Roman"/>
                <w:kern w:val="0"/>
                <w:sz w:val="20"/>
                <w:lang w:val="zh-CN"/>
              </w:rPr>
              <w:t xml:space="preserve"> -764,909,152.67</w:t>
            </w:r>
            <w:r>
              <w:rPr>
                <w:rFonts w:ascii="宋体" w:hAnsi="宋体" w:cs="宋体" w:hint="eastAsia"/>
                <w:kern w:val="0"/>
                <w:sz w:val="20"/>
                <w:lang w:val="zh-CN"/>
              </w:rPr>
              <w:t>元，增幅为</w:t>
            </w:r>
            <w:r>
              <w:rPr>
                <w:rFonts w:eastAsia="Times New Roman"/>
                <w:kern w:val="0"/>
                <w:sz w:val="20"/>
                <w:lang w:val="zh-CN"/>
              </w:rPr>
              <w:t>121.58%</w:t>
            </w:r>
            <w:r>
              <w:rPr>
                <w:rFonts w:ascii="宋体" w:hAnsi="宋体" w:cs="宋体" w:hint="eastAsia"/>
                <w:kern w:val="0"/>
                <w:sz w:val="20"/>
                <w:lang w:val="zh-CN"/>
              </w:rPr>
              <w:t>，主要系本期到期归还借款增加所致。</w:t>
            </w:r>
          </w:p>
        </w:tc>
      </w:tr>
    </w:tbl>
    <w:p w:rsidR="00EE7DA4" w:rsidRDefault="00EE7DA4">
      <w:pPr>
        <w:pStyle w:val="Chapter"/>
        <w:outlineLvl w:val="1"/>
        <w:rPr>
          <w:bCs w:val="0"/>
        </w:rPr>
      </w:pPr>
      <w:r>
        <w:rPr>
          <w:rFonts w:hint="eastAsia"/>
          <w:bCs w:val="0"/>
        </w:rPr>
        <w:t>二、重要事项进展情况及其影响和解决方案的分析说明</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022B3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 xml:space="preserve">　　</w:t>
      </w:r>
      <w:r w:rsidR="00EE7DA4">
        <w:rPr>
          <w:rFonts w:ascii="宋体" w:hAnsi="宋体" w:cs="宋体" w:hint="eastAsia"/>
          <w:kern w:val="0"/>
          <w:szCs w:val="24"/>
          <w:lang w:val="zh-CN"/>
        </w:rPr>
        <w:t>公司于</w:t>
      </w:r>
      <w:r w:rsidR="00EE7DA4" w:rsidRPr="00022B3D">
        <w:rPr>
          <w:rFonts w:eastAsia="Times New Roman"/>
          <w:kern w:val="0"/>
          <w:szCs w:val="24"/>
        </w:rPr>
        <w:t>2019</w:t>
      </w:r>
      <w:r w:rsidR="00EE7DA4">
        <w:rPr>
          <w:rFonts w:ascii="宋体" w:hAnsi="宋体" w:cs="宋体" w:hint="eastAsia"/>
          <w:kern w:val="0"/>
          <w:szCs w:val="24"/>
          <w:lang w:val="zh-CN"/>
        </w:rPr>
        <w:t>年</w:t>
      </w:r>
      <w:r w:rsidR="00EE7DA4" w:rsidRPr="00022B3D">
        <w:rPr>
          <w:rFonts w:eastAsia="Times New Roman"/>
          <w:kern w:val="0"/>
          <w:szCs w:val="24"/>
        </w:rPr>
        <w:t>3</w:t>
      </w:r>
      <w:r w:rsidR="00EE7DA4">
        <w:rPr>
          <w:rFonts w:ascii="宋体" w:hAnsi="宋体" w:cs="宋体" w:hint="eastAsia"/>
          <w:kern w:val="0"/>
          <w:szCs w:val="24"/>
          <w:lang w:val="zh-CN"/>
        </w:rPr>
        <w:t>月</w:t>
      </w:r>
      <w:r w:rsidR="00EE7DA4" w:rsidRPr="00022B3D">
        <w:rPr>
          <w:rFonts w:eastAsia="Times New Roman"/>
          <w:kern w:val="0"/>
          <w:szCs w:val="24"/>
        </w:rPr>
        <w:t>15</w:t>
      </w:r>
      <w:r w:rsidR="00EE7DA4">
        <w:rPr>
          <w:rFonts w:ascii="宋体" w:hAnsi="宋体" w:cs="宋体" w:hint="eastAsia"/>
          <w:kern w:val="0"/>
          <w:szCs w:val="24"/>
          <w:lang w:val="zh-CN"/>
        </w:rPr>
        <w:t>日和</w:t>
      </w:r>
      <w:r w:rsidR="00EE7DA4" w:rsidRPr="00022B3D">
        <w:rPr>
          <w:rFonts w:eastAsia="Times New Roman"/>
          <w:kern w:val="0"/>
          <w:szCs w:val="24"/>
        </w:rPr>
        <w:t>2019</w:t>
      </w:r>
      <w:r w:rsidR="00EE7DA4">
        <w:rPr>
          <w:rFonts w:ascii="宋体" w:hAnsi="宋体" w:cs="宋体" w:hint="eastAsia"/>
          <w:kern w:val="0"/>
          <w:szCs w:val="24"/>
          <w:lang w:val="zh-CN"/>
        </w:rPr>
        <w:t>年</w:t>
      </w:r>
      <w:r w:rsidR="00EE7DA4" w:rsidRPr="00022B3D">
        <w:rPr>
          <w:rFonts w:eastAsia="Times New Roman"/>
          <w:kern w:val="0"/>
          <w:szCs w:val="24"/>
        </w:rPr>
        <w:t>4</w:t>
      </w:r>
      <w:r w:rsidR="00EE7DA4">
        <w:rPr>
          <w:rFonts w:ascii="宋体" w:hAnsi="宋体" w:cs="宋体" w:hint="eastAsia"/>
          <w:kern w:val="0"/>
          <w:szCs w:val="24"/>
          <w:lang w:val="zh-CN"/>
        </w:rPr>
        <w:t>月</w:t>
      </w:r>
      <w:r w:rsidR="00EE7DA4" w:rsidRPr="00022B3D">
        <w:rPr>
          <w:rFonts w:eastAsia="Times New Roman"/>
          <w:kern w:val="0"/>
          <w:szCs w:val="24"/>
        </w:rPr>
        <w:t>2</w:t>
      </w:r>
      <w:r w:rsidR="00EE7DA4">
        <w:rPr>
          <w:rFonts w:ascii="宋体" w:hAnsi="宋体" w:cs="宋体" w:hint="eastAsia"/>
          <w:kern w:val="0"/>
          <w:szCs w:val="24"/>
          <w:lang w:val="zh-CN"/>
        </w:rPr>
        <w:t>日分别召开第七届董事会</w:t>
      </w:r>
      <w:r w:rsidR="00EE7DA4" w:rsidRPr="00022B3D">
        <w:rPr>
          <w:rFonts w:eastAsia="Times New Roman"/>
          <w:kern w:val="0"/>
          <w:szCs w:val="24"/>
        </w:rPr>
        <w:t>2019</w:t>
      </w:r>
      <w:r w:rsidR="00EE7DA4">
        <w:rPr>
          <w:rFonts w:ascii="宋体" w:hAnsi="宋体" w:cs="宋体" w:hint="eastAsia"/>
          <w:kern w:val="0"/>
          <w:szCs w:val="24"/>
          <w:lang w:val="zh-CN"/>
        </w:rPr>
        <w:t>年第二次临时会议和</w:t>
      </w:r>
      <w:r w:rsidR="00EE7DA4" w:rsidRPr="00022B3D">
        <w:rPr>
          <w:rFonts w:eastAsia="Times New Roman"/>
          <w:kern w:val="0"/>
          <w:szCs w:val="24"/>
        </w:rPr>
        <w:t>2019</w:t>
      </w:r>
      <w:r w:rsidR="00EE7DA4">
        <w:rPr>
          <w:rFonts w:ascii="宋体" w:hAnsi="宋体" w:cs="宋体" w:hint="eastAsia"/>
          <w:kern w:val="0"/>
          <w:szCs w:val="24"/>
          <w:lang w:val="zh-CN"/>
        </w:rPr>
        <w:t>年第二次临时股东大会</w:t>
      </w:r>
      <w:r w:rsidR="00EE7DA4" w:rsidRPr="00022B3D">
        <w:rPr>
          <w:rFonts w:ascii="宋体" w:hAnsi="宋体" w:cs="宋体" w:hint="eastAsia"/>
          <w:kern w:val="0"/>
          <w:szCs w:val="24"/>
        </w:rPr>
        <w:t>，</w:t>
      </w:r>
      <w:r w:rsidR="00DE48A9">
        <w:rPr>
          <w:rFonts w:ascii="宋体" w:hAnsi="宋体" w:cs="宋体" w:hint="eastAsia"/>
          <w:kern w:val="0"/>
          <w:szCs w:val="24"/>
          <w:lang w:val="zh-CN"/>
        </w:rPr>
        <w:t>审议通过《关于公司</w:t>
      </w:r>
      <w:r w:rsidR="00EE7DA4">
        <w:rPr>
          <w:rFonts w:ascii="宋体" w:hAnsi="宋体" w:cs="宋体" w:hint="eastAsia"/>
          <w:kern w:val="0"/>
          <w:szCs w:val="24"/>
          <w:lang w:val="zh-CN"/>
        </w:rPr>
        <w:t>公开发行可转换公司债券的议案》</w:t>
      </w:r>
      <w:r w:rsidR="00EE7DA4" w:rsidRPr="00022B3D">
        <w:rPr>
          <w:rFonts w:ascii="宋体" w:hAnsi="宋体" w:cs="宋体" w:hint="eastAsia"/>
          <w:kern w:val="0"/>
          <w:szCs w:val="24"/>
        </w:rPr>
        <w:t>，</w:t>
      </w:r>
      <w:r w:rsidR="00EE7DA4">
        <w:rPr>
          <w:rFonts w:ascii="宋体" w:hAnsi="宋体" w:cs="宋体" w:hint="eastAsia"/>
          <w:kern w:val="0"/>
          <w:szCs w:val="24"/>
          <w:lang w:val="zh-CN"/>
        </w:rPr>
        <w:t>详见公司于</w:t>
      </w:r>
      <w:r w:rsidR="00EE7DA4" w:rsidRPr="00022B3D">
        <w:rPr>
          <w:rFonts w:eastAsia="Times New Roman"/>
          <w:kern w:val="0"/>
          <w:szCs w:val="24"/>
        </w:rPr>
        <w:t>2019</w:t>
      </w:r>
      <w:r w:rsidR="00EE7DA4">
        <w:rPr>
          <w:rFonts w:ascii="宋体" w:hAnsi="宋体" w:cs="宋体" w:hint="eastAsia"/>
          <w:kern w:val="0"/>
          <w:szCs w:val="24"/>
          <w:lang w:val="zh-CN"/>
        </w:rPr>
        <w:t>年</w:t>
      </w:r>
      <w:r w:rsidR="00EE7DA4" w:rsidRPr="00022B3D">
        <w:rPr>
          <w:rFonts w:eastAsia="Times New Roman"/>
          <w:kern w:val="0"/>
          <w:szCs w:val="24"/>
        </w:rPr>
        <w:t>3</w:t>
      </w:r>
      <w:r w:rsidR="00EE7DA4">
        <w:rPr>
          <w:rFonts w:ascii="宋体" w:hAnsi="宋体" w:cs="宋体" w:hint="eastAsia"/>
          <w:kern w:val="0"/>
          <w:szCs w:val="24"/>
          <w:lang w:val="zh-CN"/>
        </w:rPr>
        <w:t>月</w:t>
      </w:r>
      <w:r w:rsidR="00EE7DA4" w:rsidRPr="00022B3D">
        <w:rPr>
          <w:rFonts w:eastAsia="Times New Roman"/>
          <w:kern w:val="0"/>
          <w:szCs w:val="24"/>
        </w:rPr>
        <w:t>16</w:t>
      </w:r>
      <w:r w:rsidR="00EE7DA4">
        <w:rPr>
          <w:rFonts w:ascii="宋体" w:hAnsi="宋体" w:cs="宋体" w:hint="eastAsia"/>
          <w:kern w:val="0"/>
          <w:szCs w:val="24"/>
          <w:lang w:val="zh-CN"/>
        </w:rPr>
        <w:t>日和</w:t>
      </w:r>
      <w:r w:rsidR="00EE7DA4" w:rsidRPr="00022B3D">
        <w:rPr>
          <w:rFonts w:eastAsia="Times New Roman"/>
          <w:kern w:val="0"/>
          <w:szCs w:val="24"/>
        </w:rPr>
        <w:t>2019</w:t>
      </w:r>
      <w:r w:rsidR="00EE7DA4">
        <w:rPr>
          <w:rFonts w:ascii="宋体" w:hAnsi="宋体" w:cs="宋体" w:hint="eastAsia"/>
          <w:kern w:val="0"/>
          <w:szCs w:val="24"/>
          <w:lang w:val="zh-CN"/>
        </w:rPr>
        <w:t>年</w:t>
      </w:r>
      <w:r w:rsidR="00EE7DA4" w:rsidRPr="00022B3D">
        <w:rPr>
          <w:rFonts w:eastAsia="Times New Roman"/>
          <w:kern w:val="0"/>
          <w:szCs w:val="24"/>
        </w:rPr>
        <w:t>4</w:t>
      </w:r>
      <w:r w:rsidR="00EE7DA4">
        <w:rPr>
          <w:rFonts w:ascii="宋体" w:hAnsi="宋体" w:cs="宋体" w:hint="eastAsia"/>
          <w:kern w:val="0"/>
          <w:szCs w:val="24"/>
          <w:lang w:val="zh-CN"/>
        </w:rPr>
        <w:t>月</w:t>
      </w:r>
      <w:r w:rsidR="00EE7DA4" w:rsidRPr="00022B3D">
        <w:rPr>
          <w:rFonts w:eastAsia="Times New Roman"/>
          <w:kern w:val="0"/>
          <w:szCs w:val="24"/>
        </w:rPr>
        <w:t>3</w:t>
      </w:r>
      <w:r w:rsidR="00EE7DA4">
        <w:rPr>
          <w:rFonts w:ascii="宋体" w:hAnsi="宋体" w:cs="宋体" w:hint="eastAsia"/>
          <w:kern w:val="0"/>
          <w:szCs w:val="24"/>
          <w:lang w:val="zh-CN"/>
        </w:rPr>
        <w:t>日公布在《证券时报》、《中国证券报》及巨潮资讯网</w:t>
      </w:r>
      <w:r w:rsidR="00EE7DA4" w:rsidRPr="00022B3D">
        <w:rPr>
          <w:rFonts w:ascii="宋体" w:hAnsi="宋体" w:cs="宋体" w:hint="eastAsia"/>
          <w:kern w:val="0"/>
          <w:szCs w:val="24"/>
        </w:rPr>
        <w:t>（</w:t>
      </w:r>
      <w:r w:rsidR="00EE7DA4" w:rsidRPr="00022B3D">
        <w:rPr>
          <w:rFonts w:eastAsia="Times New Roman"/>
          <w:kern w:val="0"/>
          <w:szCs w:val="24"/>
        </w:rPr>
        <w:t>www.cninfo.com.cn</w:t>
      </w:r>
      <w:r w:rsidR="00EE7DA4" w:rsidRPr="00022B3D">
        <w:rPr>
          <w:rFonts w:ascii="宋体" w:hAnsi="宋体" w:cs="宋体" w:hint="eastAsia"/>
          <w:kern w:val="0"/>
          <w:szCs w:val="24"/>
        </w:rPr>
        <w:t>）</w:t>
      </w:r>
      <w:r w:rsidR="00EE7DA4">
        <w:rPr>
          <w:rFonts w:ascii="宋体" w:hAnsi="宋体" w:cs="宋体" w:hint="eastAsia"/>
          <w:kern w:val="0"/>
          <w:szCs w:val="24"/>
          <w:lang w:val="zh-CN"/>
        </w:rPr>
        <w:t>上的相关公告。公司后续会按照相关规定及时公布该事项进展情况。</w:t>
      </w:r>
    </w:p>
    <w:p w:rsidR="00EE7DA4" w:rsidRDefault="00EE7DA4">
      <w:pPr>
        <w:jc w:val="left"/>
        <w:rPr>
          <w:szCs w:val="24"/>
        </w:rPr>
      </w:pPr>
      <w:r>
        <w:rPr>
          <w:rFonts w:hint="eastAsia"/>
          <w:szCs w:val="24"/>
        </w:rPr>
        <w:lastRenderedPageBreak/>
        <w:t>股份回购的实施进展情况</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jc w:val="left"/>
        <w:rPr>
          <w:szCs w:val="24"/>
        </w:rPr>
      </w:pPr>
      <w:r>
        <w:rPr>
          <w:rFonts w:hint="eastAsia"/>
          <w:szCs w:val="24"/>
        </w:rPr>
        <w:t>采用集中竞价方式减持回购股份的实施进展情况</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pStyle w:val="Chapter"/>
        <w:outlineLvl w:val="1"/>
        <w:rPr>
          <w:bCs w:val="0"/>
        </w:rPr>
      </w:pPr>
      <w:r>
        <w:rPr>
          <w:rFonts w:hint="eastAsia"/>
          <w:bCs w:val="0"/>
        </w:rPr>
        <w:t>三、公司实际控制人、股东、关联方、收购人以及公司等承诺相关方在报告期内超期未履行完毕的承诺事项</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jc w:val="left"/>
        <w:rPr>
          <w:szCs w:val="24"/>
        </w:rPr>
      </w:pPr>
      <w:r>
        <w:rPr>
          <w:rFonts w:hint="eastAsia"/>
          <w:szCs w:val="24"/>
        </w:rPr>
        <w:t>公司报告期不存在公司实际控制人、股东、关联方、收购人以及公司等承诺相关方在报告期内超期未履行完毕的承诺事项。</w:t>
      </w:r>
    </w:p>
    <w:p w:rsidR="00EE7DA4" w:rsidRDefault="00EE7DA4">
      <w:pPr>
        <w:pStyle w:val="Chapter"/>
        <w:outlineLvl w:val="1"/>
        <w:rPr>
          <w:bCs w:val="0"/>
        </w:rPr>
      </w:pPr>
      <w:r>
        <w:rPr>
          <w:rFonts w:hint="eastAsia"/>
          <w:bCs w:val="0"/>
        </w:rPr>
        <w:t>四、证券投资情况</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jc w:val="left"/>
        <w:rPr>
          <w:szCs w:val="24"/>
        </w:rPr>
      </w:pPr>
      <w:r>
        <w:rPr>
          <w:rFonts w:hint="eastAsia"/>
          <w:szCs w:val="24"/>
        </w:rPr>
        <w:t>公司报告期不存在证券投资。</w:t>
      </w:r>
    </w:p>
    <w:p w:rsidR="00EE7DA4" w:rsidRDefault="00EE7DA4">
      <w:pPr>
        <w:pStyle w:val="Chapter"/>
        <w:outlineLvl w:val="1"/>
        <w:rPr>
          <w:bCs w:val="0"/>
        </w:rPr>
      </w:pPr>
      <w:r>
        <w:rPr>
          <w:rFonts w:hint="eastAsia"/>
          <w:bCs w:val="0"/>
        </w:rPr>
        <w:t>五、委托理财</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jc w:val="left"/>
        <w:rPr>
          <w:szCs w:val="24"/>
        </w:rPr>
      </w:pPr>
      <w:r>
        <w:rPr>
          <w:rFonts w:hint="eastAsia"/>
          <w:szCs w:val="24"/>
        </w:rPr>
        <w:t>公司报告期不存在委托理财。</w:t>
      </w:r>
    </w:p>
    <w:p w:rsidR="00EE7DA4" w:rsidRDefault="00EE7DA4">
      <w:pPr>
        <w:pStyle w:val="Chapter"/>
        <w:outlineLvl w:val="1"/>
        <w:rPr>
          <w:bCs w:val="0"/>
        </w:rPr>
      </w:pPr>
      <w:r>
        <w:rPr>
          <w:rFonts w:hint="eastAsia"/>
          <w:bCs w:val="0"/>
        </w:rPr>
        <w:t>六、衍生品投资情况</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jc w:val="right"/>
        <w:rPr>
          <w:szCs w:val="24"/>
        </w:rPr>
      </w:pPr>
      <w:r>
        <w:rPr>
          <w:rFonts w:hint="eastAsia"/>
          <w:szCs w:val="24"/>
        </w:rPr>
        <w:t>单位：万元</w:t>
      </w:r>
    </w:p>
    <w:tbl>
      <w:tblPr>
        <w:tblW w:w="0" w:type="auto"/>
        <w:tblInd w:w="28" w:type="dxa"/>
        <w:tblLayout w:type="fixed"/>
        <w:tblCellMar>
          <w:left w:w="28" w:type="dxa"/>
          <w:right w:w="28" w:type="dxa"/>
        </w:tblCellMar>
        <w:tblLook w:val="0000" w:firstRow="0" w:lastRow="0" w:firstColumn="0" w:lastColumn="0" w:noHBand="0" w:noVBand="0"/>
      </w:tblPr>
      <w:tblGrid>
        <w:gridCol w:w="681"/>
        <w:gridCol w:w="684"/>
        <w:gridCol w:w="682"/>
        <w:gridCol w:w="221"/>
        <w:gridCol w:w="541"/>
        <w:gridCol w:w="682"/>
        <w:gridCol w:w="683"/>
        <w:gridCol w:w="682"/>
        <w:gridCol w:w="683"/>
        <w:gridCol w:w="682"/>
        <w:gridCol w:w="682"/>
        <w:gridCol w:w="610"/>
        <w:gridCol w:w="72"/>
        <w:gridCol w:w="683"/>
        <w:gridCol w:w="682"/>
        <w:gridCol w:w="615"/>
      </w:tblGrid>
      <w:tr w:rsidR="00EE7DA4">
        <w:tblPrEx>
          <w:tblCellMar>
            <w:top w:w="0" w:type="dxa"/>
            <w:bottom w:w="0" w:type="dxa"/>
          </w:tblCellMar>
        </w:tblPrEx>
        <w:tc>
          <w:tcPr>
            <w:tcW w:w="68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衍生品投资操作方名称</w:t>
            </w:r>
          </w:p>
        </w:tc>
        <w:tc>
          <w:tcPr>
            <w:tcW w:w="684"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关联关系</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是否关联交易</w:t>
            </w:r>
          </w:p>
        </w:tc>
        <w:tc>
          <w:tcPr>
            <w:tcW w:w="76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衍生品投资类型</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衍生品投资初始投资金额</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起始日期</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终止日期</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期初投资金额</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报告期内购入金额</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报告期内售出金额</w:t>
            </w:r>
          </w:p>
        </w:tc>
        <w:tc>
          <w:tcPr>
            <w:tcW w:w="68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计提减值准备金额（如有）</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期末投资金额</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期末投资金额占公司报告期末净资产比例</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报告期实际损益金额</w:t>
            </w:r>
          </w:p>
        </w:tc>
      </w:tr>
      <w:tr w:rsidR="00EE7DA4">
        <w:tblPrEx>
          <w:tblCellMar>
            <w:top w:w="0" w:type="dxa"/>
            <w:bottom w:w="0" w:type="dxa"/>
          </w:tblCellMar>
        </w:tblPrEx>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rFonts w:hint="eastAsia"/>
                <w:szCs w:val="24"/>
              </w:rPr>
              <w:t>期货公司</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rFonts w:hint="eastAsia"/>
                <w:szCs w:val="24"/>
              </w:rPr>
              <w:t>非关联方</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rFonts w:hint="eastAsia"/>
                <w:szCs w:val="24"/>
              </w:rPr>
              <w:t>否</w:t>
            </w:r>
          </w:p>
        </w:tc>
        <w:tc>
          <w:tcPr>
            <w:tcW w:w="7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rFonts w:hint="eastAsia"/>
                <w:szCs w:val="24"/>
              </w:rPr>
              <w:t>棉花等期货合约</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szCs w:val="24"/>
              </w:rPr>
              <w:t>2020</w:t>
            </w:r>
            <w:r>
              <w:rPr>
                <w:rFonts w:hint="eastAsia"/>
                <w:szCs w:val="24"/>
              </w:rPr>
              <w:t>年</w:t>
            </w:r>
            <w:r>
              <w:rPr>
                <w:szCs w:val="24"/>
              </w:rPr>
              <w:t>01</w:t>
            </w:r>
            <w:r>
              <w:rPr>
                <w:rFonts w:hint="eastAsia"/>
                <w:szCs w:val="24"/>
              </w:rPr>
              <w:t>月</w:t>
            </w:r>
            <w:r>
              <w:rPr>
                <w:szCs w:val="24"/>
              </w:rPr>
              <w:t>01</w:t>
            </w:r>
            <w:r>
              <w:rPr>
                <w:rFonts w:hint="eastAsia"/>
                <w:szCs w:val="24"/>
              </w:rPr>
              <w:t>日</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szCs w:val="24"/>
              </w:rPr>
              <w:t>2020</w:t>
            </w:r>
            <w:r>
              <w:rPr>
                <w:rFonts w:hint="eastAsia"/>
                <w:szCs w:val="24"/>
              </w:rPr>
              <w:t>年</w:t>
            </w:r>
            <w:r>
              <w:rPr>
                <w:szCs w:val="24"/>
              </w:rPr>
              <w:t>03</w:t>
            </w:r>
            <w:r>
              <w:rPr>
                <w:rFonts w:hint="eastAsia"/>
                <w:szCs w:val="24"/>
              </w:rPr>
              <w:t>月</w:t>
            </w:r>
            <w:r>
              <w:rPr>
                <w:szCs w:val="24"/>
              </w:rPr>
              <w:t>31</w:t>
            </w:r>
            <w:r>
              <w:rPr>
                <w:rFonts w:hint="eastAsia"/>
                <w:szCs w:val="24"/>
              </w:rPr>
              <w:t>日</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41,427,409.97</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850,691,069.86</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835,951,442.93</w:t>
            </w:r>
          </w:p>
        </w:tc>
        <w:tc>
          <w:tcPr>
            <w:tcW w:w="6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56,167,036.9</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0.90%</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34,105,031.01</w:t>
            </w:r>
          </w:p>
        </w:tc>
      </w:tr>
      <w:tr w:rsidR="00EE7DA4">
        <w:tblPrEx>
          <w:tblCellMar>
            <w:top w:w="0" w:type="dxa"/>
            <w:bottom w:w="0" w:type="dxa"/>
          </w:tblCellMar>
        </w:tblPrEx>
        <w:tc>
          <w:tcPr>
            <w:tcW w:w="280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合计</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022B3D">
            <w:pPr>
              <w:jc w:val="right"/>
              <w:rPr>
                <w:szCs w:val="24"/>
              </w:rPr>
            </w:pPr>
            <w:r>
              <w:rPr>
                <w:szCs w:val="24"/>
              </w:rPr>
              <w:t>--</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szCs w:val="24"/>
              </w:rPr>
              <w:t>--</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szCs w:val="24"/>
              </w:rPr>
              <w:t>--</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41,427,409.97</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850,691,069.86</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835,951,442.93</w:t>
            </w:r>
          </w:p>
        </w:tc>
        <w:tc>
          <w:tcPr>
            <w:tcW w:w="6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56,167,036.9</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0.90%</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34,105,031.01</w:t>
            </w:r>
          </w:p>
        </w:tc>
      </w:tr>
      <w:tr w:rsidR="00EE7DA4" w:rsidTr="00022B3D">
        <w:tblPrEx>
          <w:tblCellMar>
            <w:top w:w="0" w:type="dxa"/>
            <w:bottom w:w="0" w:type="dxa"/>
          </w:tblCellMar>
        </w:tblPrEx>
        <w:tc>
          <w:tcPr>
            <w:tcW w:w="7513"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衍生品投资资金来源</w:t>
            </w:r>
          </w:p>
        </w:tc>
        <w:tc>
          <w:tcPr>
            <w:tcW w:w="20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rFonts w:hint="eastAsia"/>
                <w:szCs w:val="24"/>
              </w:rPr>
              <w:t>自筹</w:t>
            </w:r>
          </w:p>
        </w:tc>
      </w:tr>
      <w:tr w:rsidR="00EE7DA4" w:rsidTr="00022B3D">
        <w:tblPrEx>
          <w:tblCellMar>
            <w:top w:w="0" w:type="dxa"/>
            <w:bottom w:w="0" w:type="dxa"/>
          </w:tblCellMar>
        </w:tblPrEx>
        <w:tc>
          <w:tcPr>
            <w:tcW w:w="7513"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涉诉情况（如适用）</w:t>
            </w:r>
          </w:p>
        </w:tc>
        <w:tc>
          <w:tcPr>
            <w:tcW w:w="20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rFonts w:hint="eastAsia"/>
                <w:szCs w:val="24"/>
              </w:rPr>
              <w:t>不适用</w:t>
            </w:r>
          </w:p>
        </w:tc>
      </w:tr>
      <w:tr w:rsidR="00EE7DA4" w:rsidTr="00022B3D">
        <w:tblPrEx>
          <w:tblCellMar>
            <w:top w:w="0" w:type="dxa"/>
            <w:bottom w:w="0" w:type="dxa"/>
          </w:tblCellMar>
        </w:tblPrEx>
        <w:tc>
          <w:tcPr>
            <w:tcW w:w="7513"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衍生品投资审批董事会公告披露日期（如有</w:t>
            </w:r>
            <w:r>
              <w:rPr>
                <w:szCs w:val="24"/>
              </w:rPr>
              <w:t>)</w:t>
            </w:r>
          </w:p>
        </w:tc>
        <w:tc>
          <w:tcPr>
            <w:tcW w:w="20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szCs w:val="24"/>
              </w:rPr>
              <w:t>2019</w:t>
            </w:r>
            <w:r>
              <w:rPr>
                <w:rFonts w:hint="eastAsia"/>
                <w:szCs w:val="24"/>
              </w:rPr>
              <w:t>年</w:t>
            </w:r>
            <w:r>
              <w:rPr>
                <w:szCs w:val="24"/>
              </w:rPr>
              <w:t>04</w:t>
            </w:r>
            <w:r>
              <w:rPr>
                <w:rFonts w:hint="eastAsia"/>
                <w:szCs w:val="24"/>
              </w:rPr>
              <w:t>月</w:t>
            </w:r>
            <w:r>
              <w:rPr>
                <w:szCs w:val="24"/>
              </w:rPr>
              <w:t>25</w:t>
            </w:r>
            <w:r>
              <w:rPr>
                <w:rFonts w:hint="eastAsia"/>
                <w:szCs w:val="24"/>
              </w:rPr>
              <w:t>日</w:t>
            </w:r>
          </w:p>
        </w:tc>
      </w:tr>
      <w:tr w:rsidR="00EE7DA4" w:rsidTr="00022B3D">
        <w:tblPrEx>
          <w:tblCellMar>
            <w:top w:w="0" w:type="dxa"/>
            <w:bottom w:w="0" w:type="dxa"/>
          </w:tblCellMar>
        </w:tblPrEx>
        <w:tc>
          <w:tcPr>
            <w:tcW w:w="7513"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衍生品投资审批股东会公告披露日期（如有</w:t>
            </w:r>
            <w:r>
              <w:rPr>
                <w:szCs w:val="24"/>
              </w:rPr>
              <w:t>)</w:t>
            </w:r>
          </w:p>
        </w:tc>
        <w:tc>
          <w:tcPr>
            <w:tcW w:w="20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szCs w:val="24"/>
              </w:rPr>
              <w:t>2019</w:t>
            </w:r>
            <w:r>
              <w:rPr>
                <w:rFonts w:hint="eastAsia"/>
                <w:szCs w:val="24"/>
              </w:rPr>
              <w:t>年</w:t>
            </w:r>
            <w:r>
              <w:rPr>
                <w:szCs w:val="24"/>
              </w:rPr>
              <w:t>05</w:t>
            </w:r>
            <w:r>
              <w:rPr>
                <w:rFonts w:hint="eastAsia"/>
                <w:szCs w:val="24"/>
              </w:rPr>
              <w:t>月</w:t>
            </w:r>
            <w:r>
              <w:rPr>
                <w:szCs w:val="24"/>
              </w:rPr>
              <w:t>16</w:t>
            </w:r>
            <w:r>
              <w:rPr>
                <w:rFonts w:hint="eastAsia"/>
                <w:szCs w:val="24"/>
              </w:rPr>
              <w:t>日</w:t>
            </w:r>
          </w:p>
        </w:tc>
      </w:tr>
      <w:tr w:rsidR="00EE7DA4" w:rsidTr="00022B3D">
        <w:tblPrEx>
          <w:tblCellMar>
            <w:top w:w="0" w:type="dxa"/>
            <w:bottom w:w="0" w:type="dxa"/>
          </w:tblCellMar>
        </w:tblPrEx>
        <w:tc>
          <w:tcPr>
            <w:tcW w:w="7513"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报告期衍生品持仓的风险分析及控制措施说明（包括但不限于市场风险、流动性风险、信用风</w:t>
            </w:r>
            <w:r>
              <w:rPr>
                <w:rFonts w:hint="eastAsia"/>
                <w:szCs w:val="24"/>
              </w:rPr>
              <w:lastRenderedPageBreak/>
              <w:t>险、操作风险、法律风险等）</w:t>
            </w:r>
          </w:p>
        </w:tc>
        <w:tc>
          <w:tcPr>
            <w:tcW w:w="20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rFonts w:hint="eastAsia"/>
                <w:szCs w:val="24"/>
              </w:rPr>
              <w:lastRenderedPageBreak/>
              <w:t>不适用</w:t>
            </w:r>
          </w:p>
        </w:tc>
      </w:tr>
      <w:tr w:rsidR="00EE7DA4" w:rsidTr="00022B3D">
        <w:tblPrEx>
          <w:tblCellMar>
            <w:top w:w="0" w:type="dxa"/>
            <w:bottom w:w="0" w:type="dxa"/>
          </w:tblCellMar>
        </w:tblPrEx>
        <w:tc>
          <w:tcPr>
            <w:tcW w:w="7513"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已投资衍生品报告期内市场价格或产品公允价值变动的情况，对衍生品公允价值的分析应披露具体使用的方法及相关假设与参数的设定</w:t>
            </w:r>
          </w:p>
        </w:tc>
        <w:tc>
          <w:tcPr>
            <w:tcW w:w="20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rFonts w:hint="eastAsia"/>
                <w:szCs w:val="24"/>
              </w:rPr>
              <w:t>不适用</w:t>
            </w:r>
          </w:p>
        </w:tc>
      </w:tr>
      <w:tr w:rsidR="00EE7DA4" w:rsidTr="00022B3D">
        <w:tblPrEx>
          <w:tblCellMar>
            <w:top w:w="0" w:type="dxa"/>
            <w:bottom w:w="0" w:type="dxa"/>
          </w:tblCellMar>
        </w:tblPrEx>
        <w:tc>
          <w:tcPr>
            <w:tcW w:w="7513"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报告期公司衍生品的会计政策及会计核算具体原则与上一报告期相比是否发生重大变化的说明</w:t>
            </w:r>
          </w:p>
        </w:tc>
        <w:tc>
          <w:tcPr>
            <w:tcW w:w="20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rFonts w:hint="eastAsia"/>
                <w:szCs w:val="24"/>
              </w:rPr>
              <w:t>不适用</w:t>
            </w:r>
          </w:p>
        </w:tc>
      </w:tr>
      <w:tr w:rsidR="00EE7DA4" w:rsidTr="00022B3D">
        <w:tblPrEx>
          <w:tblCellMar>
            <w:top w:w="0" w:type="dxa"/>
            <w:bottom w:w="0" w:type="dxa"/>
          </w:tblCellMar>
        </w:tblPrEx>
        <w:tc>
          <w:tcPr>
            <w:tcW w:w="22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独立董事对公司衍生品投资及风险控制情况的专项意见</w:t>
            </w:r>
          </w:p>
        </w:tc>
        <w:tc>
          <w:tcPr>
            <w:tcW w:w="729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left"/>
              <w:rPr>
                <w:szCs w:val="24"/>
              </w:rPr>
            </w:pPr>
            <w:r>
              <w:rPr>
                <w:rFonts w:hint="eastAsia"/>
                <w:szCs w:val="24"/>
              </w:rPr>
              <w:t>详见公司于</w:t>
            </w:r>
            <w:r>
              <w:rPr>
                <w:szCs w:val="24"/>
              </w:rPr>
              <w:t>2019</w:t>
            </w:r>
            <w:r>
              <w:rPr>
                <w:rFonts w:hint="eastAsia"/>
                <w:szCs w:val="24"/>
              </w:rPr>
              <w:t>年</w:t>
            </w:r>
            <w:r>
              <w:rPr>
                <w:szCs w:val="24"/>
              </w:rPr>
              <w:t>4</w:t>
            </w:r>
            <w:r>
              <w:rPr>
                <w:rFonts w:hint="eastAsia"/>
                <w:szCs w:val="24"/>
              </w:rPr>
              <w:t>月</w:t>
            </w:r>
            <w:r>
              <w:rPr>
                <w:szCs w:val="24"/>
              </w:rPr>
              <w:t>25</w:t>
            </w:r>
            <w:r>
              <w:rPr>
                <w:rFonts w:hint="eastAsia"/>
                <w:szCs w:val="24"/>
              </w:rPr>
              <w:t>日披露在《证券时报》、《中国证券报》及巨潮资讯网的《独立董事关于第七届董事会第一次会议相关议案的独立意见及</w:t>
            </w:r>
            <w:r>
              <w:rPr>
                <w:szCs w:val="24"/>
              </w:rPr>
              <w:t xml:space="preserve"> </w:t>
            </w:r>
            <w:r>
              <w:rPr>
                <w:rFonts w:hint="eastAsia"/>
                <w:szCs w:val="24"/>
              </w:rPr>
              <w:t>控股股东及其他关联方占用公司资金和对外担保情况的专项说明》</w:t>
            </w:r>
          </w:p>
        </w:tc>
      </w:tr>
    </w:tbl>
    <w:p w:rsidR="00EE7DA4" w:rsidRDefault="00EE7DA4">
      <w:pPr>
        <w:pStyle w:val="Chapter"/>
        <w:outlineLvl w:val="1"/>
        <w:rPr>
          <w:bCs w:val="0"/>
        </w:rPr>
      </w:pPr>
      <w:r>
        <w:rPr>
          <w:rFonts w:hint="eastAsia"/>
          <w:bCs w:val="0"/>
        </w:rPr>
        <w:t>七、违规对外担保情况</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jc w:val="left"/>
        <w:rPr>
          <w:szCs w:val="24"/>
        </w:rPr>
      </w:pPr>
      <w:r>
        <w:rPr>
          <w:rFonts w:hint="eastAsia"/>
          <w:szCs w:val="24"/>
        </w:rPr>
        <w:t>公司报告期无违规对外担保情况。</w:t>
      </w:r>
    </w:p>
    <w:p w:rsidR="00EE7DA4" w:rsidRDefault="00EE7DA4">
      <w:pPr>
        <w:pStyle w:val="Chapter"/>
        <w:outlineLvl w:val="1"/>
        <w:rPr>
          <w:bCs w:val="0"/>
        </w:rPr>
      </w:pPr>
      <w:r>
        <w:rPr>
          <w:rFonts w:hint="eastAsia"/>
          <w:bCs w:val="0"/>
        </w:rPr>
        <w:t>八、控股股东及其关联方对上市公司的非经营性占用资金情况</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jc w:val="left"/>
        <w:rPr>
          <w:szCs w:val="24"/>
        </w:rPr>
      </w:pPr>
      <w:r>
        <w:rPr>
          <w:rFonts w:hint="eastAsia"/>
          <w:szCs w:val="24"/>
        </w:rPr>
        <w:t>公司报告期不存在控股股东及其关联方对上市公司的非经营性占用资金。</w:t>
      </w:r>
    </w:p>
    <w:p w:rsidR="00EE7DA4" w:rsidRDefault="00EE7DA4">
      <w:pPr>
        <w:pStyle w:val="Chapter"/>
        <w:outlineLvl w:val="1"/>
        <w:rPr>
          <w:bCs w:val="0"/>
        </w:rPr>
      </w:pPr>
      <w:r>
        <w:rPr>
          <w:rFonts w:hint="eastAsia"/>
          <w:bCs w:val="0"/>
        </w:rPr>
        <w:t>九、报告期内接待调研、沟通、采访等活动登记表</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jc w:val="left"/>
        <w:rPr>
          <w:szCs w:val="24"/>
        </w:rPr>
      </w:pPr>
      <w:r>
        <w:rPr>
          <w:rFonts w:hint="eastAsia"/>
          <w:szCs w:val="24"/>
        </w:rPr>
        <w:t>公司报告期内未发生接待调研、沟通、采访等活动。</w:t>
      </w:r>
    </w:p>
    <w:p w:rsidR="00EE7DA4" w:rsidRDefault="00EE7DA4">
      <w:pPr>
        <w:jc w:val="left"/>
        <w:rPr>
          <w:szCs w:val="24"/>
        </w:rPr>
        <w:sectPr w:rsidR="00EE7DA4">
          <w:pgSz w:w="11906" w:h="16838"/>
          <w:pgMar w:top="1440" w:right="1134" w:bottom="1440" w:left="1134" w:header="851" w:footer="992" w:gutter="0"/>
          <w:cols w:space="425"/>
          <w:docGrid w:type="lines" w:linePitch="312"/>
        </w:sectPr>
      </w:pPr>
    </w:p>
    <w:p w:rsidR="00EE7DA4" w:rsidRDefault="00EE7DA4">
      <w:pPr>
        <w:pStyle w:val="a3"/>
        <w:outlineLvl w:val="0"/>
        <w:rPr>
          <w:bCs w:val="0"/>
          <w:szCs w:val="24"/>
        </w:rPr>
      </w:pPr>
      <w:bookmarkStart w:id="4" w:name="_Toc300000087"/>
      <w:r>
        <w:rPr>
          <w:rFonts w:hint="eastAsia"/>
          <w:bCs w:val="0"/>
          <w:szCs w:val="24"/>
        </w:rPr>
        <w:lastRenderedPageBreak/>
        <w:t>第四节</w:t>
      </w:r>
      <w:r>
        <w:rPr>
          <w:bCs w:val="0"/>
          <w:szCs w:val="24"/>
        </w:rPr>
        <w:t xml:space="preserve"> </w:t>
      </w:r>
      <w:r>
        <w:rPr>
          <w:rFonts w:hint="eastAsia"/>
          <w:bCs w:val="0"/>
          <w:szCs w:val="24"/>
        </w:rPr>
        <w:t>财务报表</w:t>
      </w:r>
      <w:bookmarkEnd w:id="4"/>
    </w:p>
    <w:p w:rsidR="00EE7DA4" w:rsidRDefault="00EE7DA4">
      <w:pPr>
        <w:pStyle w:val="Chapter"/>
        <w:outlineLvl w:val="1"/>
        <w:rPr>
          <w:bCs w:val="0"/>
        </w:rPr>
      </w:pPr>
      <w:r>
        <w:rPr>
          <w:rFonts w:hint="eastAsia"/>
          <w:bCs w:val="0"/>
        </w:rPr>
        <w:t>一、财务报表</w:t>
      </w:r>
    </w:p>
    <w:p w:rsidR="00EE7DA4" w:rsidRDefault="00EE7DA4">
      <w:pPr>
        <w:pStyle w:val="Section"/>
        <w:outlineLvl w:val="2"/>
        <w:rPr>
          <w:bCs w:val="0"/>
          <w:szCs w:val="24"/>
        </w:rPr>
      </w:pPr>
      <w:r>
        <w:rPr>
          <w:bCs w:val="0"/>
          <w:szCs w:val="24"/>
        </w:rPr>
        <w:t>1</w:t>
      </w:r>
      <w:r>
        <w:rPr>
          <w:rFonts w:hint="eastAsia"/>
          <w:bCs w:val="0"/>
          <w:szCs w:val="24"/>
        </w:rPr>
        <w:t>、合并资产负债表</w:t>
      </w:r>
    </w:p>
    <w:p w:rsidR="00EE7DA4" w:rsidRDefault="00EE7DA4">
      <w:pPr>
        <w:jc w:val="left"/>
        <w:rPr>
          <w:szCs w:val="24"/>
        </w:rPr>
      </w:pPr>
      <w:r>
        <w:rPr>
          <w:rFonts w:hint="eastAsia"/>
          <w:szCs w:val="24"/>
        </w:rPr>
        <w:t>编制单位：华孚时尚股份有限公司</w:t>
      </w:r>
    </w:p>
    <w:p w:rsidR="00EE7DA4" w:rsidRDefault="00EE7DA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szCs w:val="24"/>
              </w:rPr>
              <w:t>2020</w:t>
            </w:r>
            <w:r>
              <w:rPr>
                <w:rFonts w:hint="eastAsia"/>
                <w:szCs w:val="24"/>
              </w:rPr>
              <w:t>年</w:t>
            </w:r>
            <w:r>
              <w:rPr>
                <w:szCs w:val="24"/>
              </w:rPr>
              <w:t>3</w:t>
            </w:r>
            <w:r>
              <w:rPr>
                <w:rFonts w:hint="eastAsia"/>
                <w:szCs w:val="24"/>
              </w:rPr>
              <w:t>月</w:t>
            </w:r>
            <w:r>
              <w:rPr>
                <w:szCs w:val="24"/>
              </w:rPr>
              <w:t>31</w:t>
            </w:r>
            <w:r>
              <w:rPr>
                <w:rFonts w:hint="eastAsia"/>
                <w:szCs w:val="24"/>
              </w:rPr>
              <w:t>日</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szCs w:val="24"/>
              </w:rPr>
              <w:t>2019</w:t>
            </w:r>
            <w:r>
              <w:rPr>
                <w:rFonts w:hint="eastAsia"/>
                <w:szCs w:val="24"/>
              </w:rPr>
              <w:t>年</w:t>
            </w:r>
            <w:r>
              <w:rPr>
                <w:szCs w:val="24"/>
              </w:rPr>
              <w:t>12</w:t>
            </w:r>
            <w:r>
              <w:rPr>
                <w:rFonts w:hint="eastAsia"/>
                <w:szCs w:val="24"/>
              </w:rPr>
              <w:t>月</w:t>
            </w:r>
            <w:r>
              <w:rPr>
                <w:szCs w:val="24"/>
              </w:rPr>
              <w:t>31</w:t>
            </w:r>
            <w:r>
              <w:rPr>
                <w:rFonts w:hint="eastAsia"/>
                <w:szCs w:val="24"/>
              </w:rPr>
              <w:t>日</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2,964,280,845.84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2,547,113,496.53</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结算备付金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拆出资金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交易性金融资产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286,864,413.45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597,752,485.16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77,340,606.61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65,485,707.16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782,583,012.46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756,313,986.56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应收款项融资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937,771,765.68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854,490,979.79</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应收保费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应收分保合同准备金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635,044,276.82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546,285,775.15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10,000.00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买入返售金融资产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5,191,550,668.67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5,499,476,971.98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合同资产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持有待售资产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506,135,130.78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492,502,166.44</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11,381,570,720.31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11,359,421,568.77</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发放贷款和垫款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179,917,445.66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176,395,963.05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其他权益工具投资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87,986,227.99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88,276,081.28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其他非流动金融资产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5,166,527,566.97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5,268,038,475.44</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348,531,871.77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340,959,082.04</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使用权资产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794,745,894.43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799,044,443.48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9,585,820.23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9,585,820.23</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48,872,217.55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52,180,178.28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87,520,184.71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100,653,308.93</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195,299,495.89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141,320,594.07</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6,918,986,725.20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6,976,453,946.80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18,300,557,445.51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18,335,875,515.57</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8,362,457,734.27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8,181,373,784.70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向中央银行借款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拆入资金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交易性金融负债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106,981,366.39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67,790,773.32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505,140,077.82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542,262,014.02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1,037,925,827.22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1,032,700,717.76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合同负债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卖出回购金融资产款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吸收存款及同业存放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代理买卖证券款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代理承销证券款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115,409,920.81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98,681,838.35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15,667,531.45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74,677,670.91</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250,167,438.47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328,504,374.82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433,244.40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9,944,132.22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300,000.00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应付手续费及佣金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持有待售负债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130,000,000.00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130,000,000.00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10,523,749,896.43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10,455,991,173.88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保险合同准备金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1,009,610,568.00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1,062,236,818.00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租赁负债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4,367,138.45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4,367,138.45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167,620,895.38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100,148,483.72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33,640,316.71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33,490,660.12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1,215,238,918.54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1,200,243,100.29</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11,738,988,814.97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11,656,234,274.17</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1,519,375,555.00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1,519,375,555.00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2,410,047,632.25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2,410,047,632.25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600,011,142.54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600,011,142.54</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-56,205,557.72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-399,476.20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214,019,364.65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214,019,364.65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一般风险准备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2,727,069,760.30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2,757,712,156.60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归属于母公司所有者权益合计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6,214,295,611.94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6,300,744,089.76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少数股东权益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347,273,018.60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378,897,151.64</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6,561,568,630.54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6,679,641,241.40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18,300,557,445.51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18,335,875,515.57</w:t>
            </w:r>
          </w:p>
        </w:tc>
      </w:tr>
    </w:tbl>
    <w:p w:rsidR="00EE7DA4" w:rsidRDefault="00EE7DA4">
      <w:pPr>
        <w:spacing w:before="300"/>
        <w:rPr>
          <w:szCs w:val="24"/>
        </w:rPr>
      </w:pPr>
      <w:r>
        <w:rPr>
          <w:rFonts w:hint="eastAsia"/>
          <w:szCs w:val="24"/>
        </w:rPr>
        <w:t>法定代表人：孙伟挺</w:t>
      </w:r>
      <w:r>
        <w:rPr>
          <w:szCs w:val="24"/>
        </w:rPr>
        <w:t xml:space="preserve">                    </w:t>
      </w:r>
      <w:r>
        <w:rPr>
          <w:rFonts w:hint="eastAsia"/>
          <w:szCs w:val="24"/>
        </w:rPr>
        <w:t>主管会计工作负责人：陈玲芬</w:t>
      </w:r>
      <w:r>
        <w:rPr>
          <w:szCs w:val="24"/>
        </w:rPr>
        <w:t xml:space="preserve">                    </w:t>
      </w:r>
      <w:r>
        <w:rPr>
          <w:rFonts w:hint="eastAsia"/>
          <w:szCs w:val="24"/>
        </w:rPr>
        <w:t>会计机构负责人：王国友</w:t>
      </w:r>
    </w:p>
    <w:p w:rsidR="00EE7DA4" w:rsidRDefault="00EE7DA4">
      <w:pPr>
        <w:pStyle w:val="Section"/>
        <w:outlineLvl w:val="2"/>
        <w:rPr>
          <w:bCs w:val="0"/>
          <w:szCs w:val="24"/>
        </w:rPr>
      </w:pPr>
      <w:r>
        <w:rPr>
          <w:bCs w:val="0"/>
          <w:szCs w:val="24"/>
        </w:rPr>
        <w:t>2</w:t>
      </w:r>
      <w:r>
        <w:rPr>
          <w:rFonts w:hint="eastAsia"/>
          <w:bCs w:val="0"/>
          <w:szCs w:val="24"/>
        </w:rPr>
        <w:t>、母公司资产负债表</w:t>
      </w:r>
    </w:p>
    <w:p w:rsidR="00EE7DA4" w:rsidRDefault="00EE7DA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szCs w:val="24"/>
              </w:rPr>
              <w:t>2020</w:t>
            </w:r>
            <w:r>
              <w:rPr>
                <w:rFonts w:hint="eastAsia"/>
                <w:szCs w:val="24"/>
              </w:rPr>
              <w:t>年</w:t>
            </w:r>
            <w:r>
              <w:rPr>
                <w:szCs w:val="24"/>
              </w:rPr>
              <w:t>3</w:t>
            </w:r>
            <w:r>
              <w:rPr>
                <w:rFonts w:hint="eastAsia"/>
                <w:szCs w:val="24"/>
              </w:rPr>
              <w:t>月</w:t>
            </w:r>
            <w:r>
              <w:rPr>
                <w:szCs w:val="24"/>
              </w:rPr>
              <w:t>31</w:t>
            </w:r>
            <w:r>
              <w:rPr>
                <w:rFonts w:hint="eastAsia"/>
                <w:szCs w:val="24"/>
              </w:rPr>
              <w:t>日</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szCs w:val="24"/>
              </w:rPr>
              <w:t>2019</w:t>
            </w:r>
            <w:r>
              <w:rPr>
                <w:rFonts w:hint="eastAsia"/>
                <w:szCs w:val="24"/>
              </w:rPr>
              <w:t>年</w:t>
            </w:r>
            <w:r>
              <w:rPr>
                <w:szCs w:val="24"/>
              </w:rPr>
              <w:t>12</w:t>
            </w:r>
            <w:r>
              <w:rPr>
                <w:rFonts w:hint="eastAsia"/>
                <w:szCs w:val="24"/>
              </w:rPr>
              <w:t>月</w:t>
            </w:r>
            <w:r>
              <w:rPr>
                <w:szCs w:val="24"/>
              </w:rPr>
              <w:t>31</w:t>
            </w:r>
            <w:r>
              <w:rPr>
                <w:rFonts w:hint="eastAsia"/>
                <w:szCs w:val="24"/>
              </w:rPr>
              <w:t>日</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111,404,832.17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183,459,675.36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交易性金融资产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1,200,000.00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1,786,413.80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92,752,126.71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94,317,306.87</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应收款项融资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372,258,029.91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166,385,135.72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26,220,810.15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21,223,574.12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164,749,210.62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167,709,289.35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合同资产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持有待售资产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5,551,474.87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774,136,484.43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634,881,395.22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4,419,619,838.57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4,419,619,838.57</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其他权益工具投资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64,524,282.09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65,314,135.38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其他非流动金融资产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394,158,813.14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402,018,363.85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1,325,433.30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1,376,332.05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使用权资产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139,246,202.02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140,213,075.61</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1,869,485.42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1,869,616.86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184,494.95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5,020,744,054.54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5,030,595,857.27</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5,794,880,538.97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5,665,477,252.49</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564,000,000.00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400,000,000.00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交易性金融负债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400,000,000.00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362,000,000.00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119,413,979.95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96,474,836.00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345,510,199.00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447,107,851.48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合同负债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8,897,243.17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7,880,133.27</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2,725,771.88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4,298,197.56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227,970,549.63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215,084,702.86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1,491,004.65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2,550,124.99</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持有待售负债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1,668,517,743.63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1,532,845,721.17</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2,581,818.00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2,581,818.00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租赁负债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9,403,317.00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9,568,056.00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3,936,622.83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4,055,100.82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15,921,757.83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16,204,974.82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1,684,439,501.46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1,549,050,695.99</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1,519,375,555.00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1,519,375,555.00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2,761,872,315.95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2,761,872,315.95</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600,011,142.54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600,011,142.54</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22,307,529.26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22,978,904.56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182,423,926.12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182,423,926.12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224,472,853.72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229,786,997.41</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4,110,441,037.51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4,116,426,556.50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5,794,880,538.97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5,665,477,252.49</w:t>
            </w:r>
          </w:p>
        </w:tc>
      </w:tr>
    </w:tbl>
    <w:p w:rsidR="00EE7DA4" w:rsidRDefault="00EE7DA4">
      <w:pPr>
        <w:pStyle w:val="Section"/>
        <w:outlineLvl w:val="2"/>
        <w:rPr>
          <w:bCs w:val="0"/>
          <w:szCs w:val="24"/>
        </w:rPr>
      </w:pPr>
      <w:r>
        <w:rPr>
          <w:bCs w:val="0"/>
          <w:szCs w:val="24"/>
        </w:rPr>
        <w:t>3</w:t>
      </w:r>
      <w:r>
        <w:rPr>
          <w:rFonts w:hint="eastAsia"/>
          <w:bCs w:val="0"/>
          <w:szCs w:val="24"/>
        </w:rPr>
        <w:t>、合并利润表</w:t>
      </w:r>
    </w:p>
    <w:p w:rsidR="00EE7DA4" w:rsidRDefault="00EE7DA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3080"/>
        <w:gridCol w:w="3210"/>
        <w:gridCol w:w="3277"/>
      </w:tblGrid>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项目</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本期发生额</w:t>
            </w: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上期发生额</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一、营业总收入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2,306,051,643.44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3,634,310,612.28</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其中：营业收入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2,306,051,643.44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3,634,310,612.28</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利息收入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已赚保费</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手续费及佣金收入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二、营业总成本</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2,380,061,843.65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3,544,268,669.22</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其中：营业成本</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2,169,052,847.58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3,254,753,101.89</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利息支出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手续费及佣金支出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退保金</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赔付支出净额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提取保险责任准备金净额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保单红利支出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分保费用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税金及附加</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16,426,902.58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19,527,597.71</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销售费用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32,155,535.93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55,666,004.02</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管理费用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78,369,439.69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103,178,247.89</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研发费用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22,725,228.36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17,033,582.96</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财务费用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61,331,889.51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94,110,134.75</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其中：利息费用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86,305,038.31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75,084,126.67</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利息收入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5,275,795.61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-2,358,314.21</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加：其他收益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9,097,302.03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65,618,661.25</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36,048,452.17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30,927,337.89</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其中：对联营企业和合营企业的投资收益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以摊余成本计量的金融资产终止确认收益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汇兑收益（损失以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净敞口套期收益（损失以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公允价值变动收益（损失以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3,748,209.67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7,503,945.00</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信用减值损失（损失以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-5,060,923.73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资产减值损失（损失以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-397,309.21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1,574,058.90</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资产处置收益（损失以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93,385.31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-371,454.02</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三、营业利润（亏损以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-30,481,083.97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195,294,492.08</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加：营业外收入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4,882,746.02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1,416,166.03</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减：营业外支出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579,295.60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390,229.10</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四、利润总额（亏损总额以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-26,177,633.55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196,320,429.01</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减：所得税费用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7,945,898.33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13,382,944.56</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五、净利润（净亏损以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-34,123,531.88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182,937,484.45</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（一）按经营持续性分类</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1.</w:t>
            </w:r>
            <w:r>
              <w:rPr>
                <w:rFonts w:hint="eastAsia"/>
                <w:szCs w:val="24"/>
              </w:rPr>
              <w:t>持续经营净利润（净亏损以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-34,123,531.88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182,937,484.45</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2.</w:t>
            </w:r>
            <w:r>
              <w:rPr>
                <w:rFonts w:hint="eastAsia"/>
                <w:szCs w:val="24"/>
              </w:rPr>
              <w:t>终止经营净利润（净亏损以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（二）按所有权归属分类</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1.</w:t>
            </w:r>
            <w:r>
              <w:rPr>
                <w:rFonts w:hint="eastAsia"/>
                <w:szCs w:val="24"/>
              </w:rPr>
              <w:t>归属于母公司所有者的净利润</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-30,441,948.56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172,109,185.23</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2.</w:t>
            </w:r>
            <w:r>
              <w:rPr>
                <w:rFonts w:hint="eastAsia"/>
                <w:szCs w:val="24"/>
              </w:rPr>
              <w:t>少数股东损益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-3,681,583.32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10,828,299.22</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六、其他综合收益的税后净额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-55,806,081.52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-44,568,362.78</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归属母公司所有者的其他综合收益的税后净额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-55,806,081.52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-44,568,362.78</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（一）不能重分类进损益的其他综合收益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-671,375.30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3,954,724.53</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1.</w:t>
            </w:r>
            <w:r>
              <w:rPr>
                <w:rFonts w:hint="eastAsia"/>
                <w:szCs w:val="24"/>
              </w:rPr>
              <w:t>重新计量设定受益计划变动额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2.</w:t>
            </w:r>
            <w:r>
              <w:rPr>
                <w:rFonts w:hint="eastAsia"/>
                <w:szCs w:val="24"/>
              </w:rPr>
              <w:t>权益法下不能转损益的其他综合收益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3.</w:t>
            </w:r>
            <w:r>
              <w:rPr>
                <w:rFonts w:hint="eastAsia"/>
                <w:szCs w:val="24"/>
              </w:rPr>
              <w:t>其他权益工具投资公允价值变动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-671,375.30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3,954,724.53</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4.</w:t>
            </w:r>
            <w:r>
              <w:rPr>
                <w:rFonts w:hint="eastAsia"/>
                <w:szCs w:val="24"/>
              </w:rPr>
              <w:t>企业自身信用风险公允价值变动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5.</w:t>
            </w:r>
            <w:r>
              <w:rPr>
                <w:rFonts w:hint="eastAsia"/>
                <w:szCs w:val="24"/>
              </w:rPr>
              <w:t>其他</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（二）将重分类进损益的其他综合收益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-55,134,706.22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-48,523,087.31</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1.</w:t>
            </w:r>
            <w:r>
              <w:rPr>
                <w:rFonts w:hint="eastAsia"/>
                <w:szCs w:val="24"/>
              </w:rPr>
              <w:t>权益法下可转损益的其他综合收益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2.</w:t>
            </w:r>
            <w:r>
              <w:rPr>
                <w:rFonts w:hint="eastAsia"/>
                <w:szCs w:val="24"/>
              </w:rPr>
              <w:t>其他债权投资公允价值变动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3.</w:t>
            </w:r>
            <w:r>
              <w:rPr>
                <w:rFonts w:hint="eastAsia"/>
                <w:szCs w:val="24"/>
              </w:rPr>
              <w:t>金融资产重分类计入其他综合收益的金额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4.</w:t>
            </w:r>
            <w:r>
              <w:rPr>
                <w:rFonts w:hint="eastAsia"/>
                <w:szCs w:val="24"/>
              </w:rPr>
              <w:t>其他债权投资信用减值准</w:t>
            </w:r>
            <w:r>
              <w:rPr>
                <w:rFonts w:hint="eastAsia"/>
                <w:szCs w:val="24"/>
              </w:rPr>
              <w:lastRenderedPageBreak/>
              <w:t>备</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w:t>
            </w:r>
            <w:r>
              <w:rPr>
                <w:szCs w:val="24"/>
              </w:rPr>
              <w:t>5.</w:t>
            </w:r>
            <w:r>
              <w:rPr>
                <w:rFonts w:hint="eastAsia"/>
                <w:szCs w:val="24"/>
              </w:rPr>
              <w:t>现金流量套期储备</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6.</w:t>
            </w:r>
            <w:r>
              <w:rPr>
                <w:rFonts w:hint="eastAsia"/>
                <w:szCs w:val="24"/>
              </w:rPr>
              <w:t>外币财务报表折算差额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-55,134,706.22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-48,523,087.31</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7.</w:t>
            </w:r>
            <w:r>
              <w:rPr>
                <w:rFonts w:hint="eastAsia"/>
                <w:szCs w:val="24"/>
              </w:rPr>
              <w:t>其他</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归属于少数股东的其他综合收益的税后净额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七、综合收益总额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-89,929,613.40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138,369,121.67</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归属于母公司所有者的综合收益总额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-86,248,030.08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127,540,822.45</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归属于少数股东的综合收益总额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-3,681,583.32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10,828,299.22</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八、每股收益：</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（一）基本每股收益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-0.02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0.11</w:t>
            </w:r>
          </w:p>
        </w:tc>
      </w:tr>
      <w:tr w:rsidR="00EE7DA4">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（二）稀释每股收益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-0.02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0.11</w:t>
            </w:r>
          </w:p>
        </w:tc>
      </w:tr>
    </w:tbl>
    <w:p w:rsidR="00EE7DA4" w:rsidRDefault="00EE7DA4">
      <w:pPr>
        <w:jc w:val="left"/>
        <w:rPr>
          <w:szCs w:val="24"/>
        </w:rPr>
      </w:pPr>
      <w:r>
        <w:rPr>
          <w:rFonts w:hint="eastAsia"/>
          <w:szCs w:val="24"/>
        </w:rPr>
        <w:t>本期发生同一控制下企业合并的，被合并方在合并前实现的净利润为：</w:t>
      </w:r>
      <w:r>
        <w:rPr>
          <w:szCs w:val="24"/>
        </w:rPr>
        <w:t>0.00</w:t>
      </w:r>
      <w:r>
        <w:rPr>
          <w:rFonts w:hint="eastAsia"/>
          <w:szCs w:val="24"/>
        </w:rPr>
        <w:t>元，上期被合并方实现的净利润为：</w:t>
      </w:r>
      <w:r>
        <w:rPr>
          <w:szCs w:val="24"/>
        </w:rPr>
        <w:t>0.00</w:t>
      </w:r>
      <w:r>
        <w:rPr>
          <w:rFonts w:hint="eastAsia"/>
          <w:szCs w:val="24"/>
        </w:rPr>
        <w:t>元。</w:t>
      </w:r>
    </w:p>
    <w:p w:rsidR="00EE7DA4" w:rsidRDefault="00EE7DA4">
      <w:pPr>
        <w:spacing w:before="300"/>
        <w:rPr>
          <w:szCs w:val="24"/>
        </w:rPr>
      </w:pPr>
      <w:r>
        <w:rPr>
          <w:rFonts w:hint="eastAsia"/>
          <w:szCs w:val="24"/>
        </w:rPr>
        <w:t>法定代表人：孙伟挺</w:t>
      </w:r>
      <w:r>
        <w:rPr>
          <w:szCs w:val="24"/>
        </w:rPr>
        <w:t xml:space="preserve">                    </w:t>
      </w:r>
      <w:r>
        <w:rPr>
          <w:rFonts w:hint="eastAsia"/>
          <w:szCs w:val="24"/>
        </w:rPr>
        <w:t>主管会计工作负责人：陈玲芬</w:t>
      </w:r>
      <w:r>
        <w:rPr>
          <w:szCs w:val="24"/>
        </w:rPr>
        <w:t xml:space="preserve">                    </w:t>
      </w:r>
      <w:r>
        <w:rPr>
          <w:rFonts w:hint="eastAsia"/>
          <w:szCs w:val="24"/>
        </w:rPr>
        <w:t>会计机构负责人：王国友</w:t>
      </w:r>
    </w:p>
    <w:p w:rsidR="00EE7DA4" w:rsidRDefault="00EE7DA4">
      <w:pPr>
        <w:pStyle w:val="Section"/>
        <w:outlineLvl w:val="2"/>
        <w:rPr>
          <w:bCs w:val="0"/>
          <w:szCs w:val="24"/>
        </w:rPr>
      </w:pPr>
      <w:r>
        <w:rPr>
          <w:bCs w:val="0"/>
          <w:szCs w:val="24"/>
        </w:rPr>
        <w:t>4</w:t>
      </w:r>
      <w:r>
        <w:rPr>
          <w:rFonts w:hint="eastAsia"/>
          <w:bCs w:val="0"/>
          <w:szCs w:val="24"/>
        </w:rPr>
        <w:t>、母公司利润表</w:t>
      </w:r>
    </w:p>
    <w:p w:rsidR="00EE7DA4" w:rsidRDefault="00EE7DA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本期发生额</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上期发生额</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一、营业收入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188,598,716.26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253,287,992.68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减：营业成本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173,348,379.26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222,854,770.80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税金及附加</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1,788,391.77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2,889,441.09</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销售费用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1,477,945.14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1,848,724.51</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管理费用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5,370,190.07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8,290,604.80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研发费用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9,193,347.66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6,492,753.48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财务费用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5,567,299.86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6,099,975.80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其中：利息费用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6,607,540.49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4,306,658.68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利息收入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1,000,264.45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-184,936.68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加：其他收益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2,851,949.00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164,739.00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10,127,006.00</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其中：对联营企业和合营企业的投资收益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以摊余成本计量的金融资产终止确认收益（损失以</w:t>
            </w:r>
            <w:r>
              <w:rPr>
                <w:szCs w:val="24"/>
              </w:rPr>
              <w:t>“-”</w:t>
            </w:r>
            <w:r>
              <w:rPr>
                <w:rFonts w:hint="eastAsia"/>
                <w:szCs w:val="24"/>
              </w:rPr>
              <w:t>号填</w:t>
            </w:r>
            <w:r>
              <w:rPr>
                <w:rFonts w:hint="eastAsia"/>
                <w:szCs w:val="24"/>
              </w:rPr>
              <w:lastRenderedPageBreak/>
              <w:t>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净敞口套期收益（损失以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公允价值变动收益（损失以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信用减值损失（损失以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资产减值损失（损失以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876.25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-6,335.96</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资产处置收益（损失以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二、营业利润（亏损以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-5,294,012.25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15,097,131.24</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加：营业外收入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360,278.64</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减：营业外支出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三、利润总额（亏损总额以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-5,314,012.25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15,457,409.88</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减：所得税费用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131.44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798,610.19</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四、净利润（净亏损以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-5,314,143.69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14,658,799.69</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（一）持续经营净利润（净亏损以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-671,375.30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3,954,724.53</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（二）终止经营净利润（净亏损以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五、其他综合收益的税后净额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-671,375.30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3,954,724.53</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（一）不能重分类进损益的其他综合收益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-671,375.30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3,954,724.53</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1.</w:t>
            </w:r>
            <w:r>
              <w:rPr>
                <w:rFonts w:hint="eastAsia"/>
                <w:szCs w:val="24"/>
              </w:rPr>
              <w:t>重新计量设定受益计划变动额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2.</w:t>
            </w:r>
            <w:r>
              <w:rPr>
                <w:rFonts w:hint="eastAsia"/>
                <w:szCs w:val="24"/>
              </w:rPr>
              <w:t>权益法下不能转损益的其他综合收益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3.</w:t>
            </w:r>
            <w:r>
              <w:rPr>
                <w:rFonts w:hint="eastAsia"/>
                <w:szCs w:val="24"/>
              </w:rPr>
              <w:t>其他权益工具投资公允价值变动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-671,375.30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3,954,724.53</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4.</w:t>
            </w:r>
            <w:r>
              <w:rPr>
                <w:rFonts w:hint="eastAsia"/>
                <w:szCs w:val="24"/>
              </w:rPr>
              <w:t>企业自身信用风险公允价值变动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5.</w:t>
            </w:r>
            <w:r>
              <w:rPr>
                <w:rFonts w:hint="eastAsia"/>
                <w:szCs w:val="24"/>
              </w:rPr>
              <w:t>其他</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（二）将重分类进损益的其他综合收益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1.</w:t>
            </w:r>
            <w:r>
              <w:rPr>
                <w:rFonts w:hint="eastAsia"/>
                <w:szCs w:val="24"/>
              </w:rPr>
              <w:t>权益法下可转损益的其他综合收益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w:t>
            </w:r>
            <w:r>
              <w:rPr>
                <w:szCs w:val="24"/>
              </w:rPr>
              <w:t>2.</w:t>
            </w:r>
            <w:r>
              <w:rPr>
                <w:rFonts w:hint="eastAsia"/>
                <w:szCs w:val="24"/>
              </w:rPr>
              <w:t>其他债权投资公允价值变动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3.</w:t>
            </w:r>
            <w:r>
              <w:rPr>
                <w:rFonts w:hint="eastAsia"/>
                <w:szCs w:val="24"/>
              </w:rPr>
              <w:t>金融资产重分类计入其他综合收益的金额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4.</w:t>
            </w:r>
            <w:r>
              <w:rPr>
                <w:rFonts w:hint="eastAsia"/>
                <w:szCs w:val="24"/>
              </w:rPr>
              <w:t>其他债权投资信用减值准备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5.</w:t>
            </w:r>
            <w:r>
              <w:rPr>
                <w:rFonts w:hint="eastAsia"/>
                <w:szCs w:val="24"/>
              </w:rPr>
              <w:t>现金流量套期储备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6.</w:t>
            </w:r>
            <w:r>
              <w:rPr>
                <w:rFonts w:hint="eastAsia"/>
                <w:szCs w:val="24"/>
              </w:rPr>
              <w:t>外币财务报表折算差额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w:t>
            </w:r>
            <w:r>
              <w:rPr>
                <w:szCs w:val="24"/>
              </w:rPr>
              <w:t>7.</w:t>
            </w:r>
            <w:r>
              <w:rPr>
                <w:rFonts w:hint="eastAsia"/>
                <w:szCs w:val="24"/>
              </w:rPr>
              <w:t>其他</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六、综合收益总额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-5,985,518.99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18,613,524.22</w:t>
            </w: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七、每股收益：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（一）基本每股收益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（二）稀释每股收益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bl>
    <w:p w:rsidR="00EE7DA4" w:rsidRDefault="00EE7DA4">
      <w:pPr>
        <w:pStyle w:val="Section"/>
        <w:outlineLvl w:val="2"/>
        <w:rPr>
          <w:bCs w:val="0"/>
          <w:szCs w:val="24"/>
        </w:rPr>
      </w:pPr>
      <w:r>
        <w:rPr>
          <w:bCs w:val="0"/>
          <w:szCs w:val="24"/>
        </w:rPr>
        <w:t>5</w:t>
      </w:r>
      <w:r>
        <w:rPr>
          <w:rFonts w:hint="eastAsia"/>
          <w:bCs w:val="0"/>
          <w:szCs w:val="24"/>
        </w:rPr>
        <w:t>、合并现金流量表</w:t>
      </w:r>
    </w:p>
    <w:p w:rsidR="00EE7DA4" w:rsidRDefault="00EE7DA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6"/>
        <w:gridCol w:w="3301"/>
        <w:gridCol w:w="3301"/>
      </w:tblGrid>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项目</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本期发生额</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上期发生额</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一、经营活动产生的现金流量：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销售商品、提供劳务收到的现金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2,448,966,165.73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3,883,089,478.97</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客户存款和同业存放款项净增加额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向中央银行借款净增加额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向其他金融机构拆入资金净增加额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收到原保险合同保费取得的现金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收到再保业务现金净额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保户储金及投资款净增加额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收取利息、手续费及佣金的现金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拆入资金净增加额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回购业务资金净增加额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代理买卖证券收到的现金净额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收到的税费返还</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29,784,726.19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34,266,713.74</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收到其他与经营活动有关的现金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67,999,884.41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202,655,971.67</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经营活动现金流入小计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2,546,750,776.33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4,120,012,164.38</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购买商品、接受劳务支付的现金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1,748,283,613.87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3,642,939,495.25</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客户贷款及垫款净增加额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存放中央银行和同业款项净增加额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支付原保险合同赔付款项的现金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拆出资金净增加额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支付利息、手续费及佣金的现金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支付保单红利的现金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支付给职工以及为职工支付的现金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169,300,864.50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250,374,501.92</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支付的各项税费</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108,399,367.66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156,167,071.39</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145,512,715.69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32,945,280.19</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经营活动现金流出小计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2,171,496,561.72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4,082,426,348.75</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经营活动产生的现金流量净额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375,254,214.61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37,585,815.63</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二、投资活动产生的现金流量：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收回投资收到的现金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41,272,994.00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取得投资收益收到的现金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7,961,229.76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17,488,601.58</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处置固定资产、无形资产和其他长期资产收回的现金净额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29,000.00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1,350,494.00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处置子公司及其他营业单位收到的现金净额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收到其他与投资活动有关的现金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597,364,467.68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450,986,787.59</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投资活动现金流入小计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605,354,697.44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511,098,877.17</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购建固定资产、无形资产和其他长期资产支付的现金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113,769,057.05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44,146,377.58</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投资支付的现金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119,258,660.49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231,143,600.00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质押贷款净增加额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取得子公司及其他营业单位支付的现金净额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277,644,281.28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333,776,954.93</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投资活动现金流出小计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510,671,998.82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609,066,932.51</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投资活动产生的现金流量净额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94,682,698.62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-97,968,055.34</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三、筹资活动产生的现金流量：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吸收投资收到的现金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其中：子公司吸收少数股东投资收到的现金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取得借款收到的现金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3,911,821,587.11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3,423,278,733.79</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收到其他与筹资活动有关的现金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56,234,862.51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28,513,672.46</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筹资活动现金流入小计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3,968,056,449.62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3,451,792,406.25</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偿还债务支付的现金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4,004,903,881.54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3,330,828,711.34</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分配股利、利润或偿付利息支付的现金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68,773,458.94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67,566,457.34</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其中：子公司支付给少数股东的股利、利润</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659,288,261.81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398,609,606.51</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筹资活动现金流出小计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4,732,965,602.29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3,797,004,775.19</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筹资活动产生的现金流量净额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-764,909,152.67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-345,212,368.94</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四、汇率变动对现金及现金等价物的影响</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5,283,334.36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-349,084.95</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五、现金及现金等价物净增加额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-289,688,905.08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-405,943,693.60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加：期初现金及现金等价物余额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1,915,461,837.45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2,138,620,528.82</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六、期末现金及现金等价物余额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1,625,772,932.37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1,732,676,835.22</w:t>
            </w:r>
          </w:p>
        </w:tc>
      </w:tr>
    </w:tbl>
    <w:p w:rsidR="00EE7DA4" w:rsidRDefault="00EE7DA4">
      <w:pPr>
        <w:pStyle w:val="Section"/>
        <w:outlineLvl w:val="2"/>
        <w:rPr>
          <w:bCs w:val="0"/>
          <w:szCs w:val="24"/>
        </w:rPr>
      </w:pPr>
      <w:r>
        <w:rPr>
          <w:bCs w:val="0"/>
          <w:szCs w:val="24"/>
        </w:rPr>
        <w:t>6</w:t>
      </w:r>
      <w:r>
        <w:rPr>
          <w:rFonts w:hint="eastAsia"/>
          <w:bCs w:val="0"/>
          <w:szCs w:val="24"/>
        </w:rPr>
        <w:t>、母公司现金流量表</w:t>
      </w:r>
    </w:p>
    <w:p w:rsidR="00EE7DA4" w:rsidRDefault="00EE7DA4">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6"/>
        <w:gridCol w:w="3301"/>
        <w:gridCol w:w="3301"/>
      </w:tblGrid>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项目</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本期发生额</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center"/>
              <w:rPr>
                <w:szCs w:val="24"/>
              </w:rPr>
            </w:pPr>
            <w:r>
              <w:rPr>
                <w:rFonts w:hint="eastAsia"/>
                <w:szCs w:val="24"/>
              </w:rPr>
              <w:t>上期发生额</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一、经营活动产生的现金流量：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销售商品、提供劳务收到的现金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997,871,491.84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1,407,694,421.15</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收到的税费返还</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45,418.38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359,778.64</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收到其他与经营活动有关的现金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19,777,545.95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1,722,038.54</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经营活动现金流入小计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1,017,694,456.17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1,409,776,238.33</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购买商品、接受劳务支付的现金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1,178,805,003.87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1,110,498,161.93</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支付给职工以及为职工支付的现金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20,378,431.91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29,087,091.79</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支付的各项税费</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10,285,363.58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21,279,612.28</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5,620,438.16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4,822,178.45</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经营活动现金流出小计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1,215,089,237.52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1,165,687,044.45</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经营活动产生的现金流量净额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-197,394,781.35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244,089,193.88</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二、投资活动产生的现金流量：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收回投资收到的现金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8,872,994.00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取得投资收益收到的现金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10,127,006.00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处置固定资产、无形资产和其他</w:t>
            </w:r>
            <w:r>
              <w:rPr>
                <w:rFonts w:hint="eastAsia"/>
                <w:szCs w:val="24"/>
              </w:rPr>
              <w:lastRenderedPageBreak/>
              <w:t>长期资产收回的现金净额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lastRenderedPageBreak/>
              <w:t xml:space="preserve">　　处置子公司及其他营业单位收到的现金净额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收到其他与投资活动有关的现金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投资活动现金流入小计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19,000,000.00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购建固定资产、无形资产和其他长期资产支付的现金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33,460,652.00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2,157,568.00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投资支付的现金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取得子公司及其他营业单位支付的现金净额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投资活动现金流出小计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33,460,652.00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2,157,568.00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投资活动产生的现金流量净额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-33,460,652.00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16,842,432.00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三、筹资活动产生的现金流量：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吸收投资收到的现金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取得借款收到的现金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214,000,000.00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202,000,000.00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收到其他与筹资活动有关的现金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筹资活动现金流入小计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214,000,000.00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202,000,000.00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偿还债务支付的现金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50,000,000.00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207,000,000.00</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分配股利、利润或偿付利息支付的现金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5,127,416.67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4,690,752.78</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支付其他与筹资活动有关的现金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248,584,683.73</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筹资活动现金流出小计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55,127,416.67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460,275,436.51</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筹资活动产生的现金流量净额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158,872,583.33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-258,275,436.51</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四、汇率变动对现金及现金等价物的影响</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-71,993.17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-1,784,882.25</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五、现金及现金等价物净增加额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-72,054,843.19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871,307.12</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 xml:space="preserve">　　加：期初现金及现金等价物余额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85,604,384.35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279,011,793.45</w:t>
            </w:r>
          </w:p>
        </w:tc>
      </w:tr>
      <w:tr w:rsidR="00EE7DA4">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EE7DA4" w:rsidRDefault="00EE7DA4">
            <w:pPr>
              <w:jc w:val="left"/>
              <w:rPr>
                <w:szCs w:val="24"/>
              </w:rPr>
            </w:pPr>
            <w:r>
              <w:rPr>
                <w:rFonts w:hint="eastAsia"/>
                <w:szCs w:val="24"/>
              </w:rPr>
              <w:t>六、期末现金及现金等价物余额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13,549,541.16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EE7DA4" w:rsidRDefault="00EE7DA4">
            <w:pPr>
              <w:jc w:val="right"/>
              <w:rPr>
                <w:szCs w:val="24"/>
              </w:rPr>
            </w:pPr>
            <w:r>
              <w:rPr>
                <w:szCs w:val="24"/>
              </w:rPr>
              <w:t>279,883,100.57</w:t>
            </w:r>
          </w:p>
        </w:tc>
      </w:tr>
    </w:tbl>
    <w:p w:rsidR="00EE7DA4" w:rsidRDefault="00EE7DA4">
      <w:pPr>
        <w:pStyle w:val="Chapter"/>
        <w:outlineLvl w:val="1"/>
        <w:rPr>
          <w:bCs w:val="0"/>
        </w:rPr>
      </w:pPr>
      <w:r>
        <w:rPr>
          <w:rFonts w:hint="eastAsia"/>
          <w:bCs w:val="0"/>
        </w:rPr>
        <w:t>二、财务报表调整情况说明</w:t>
      </w:r>
    </w:p>
    <w:p w:rsidR="00EE7DA4" w:rsidRDefault="00EE7DA4">
      <w:pPr>
        <w:pStyle w:val="Section"/>
        <w:outlineLvl w:val="2"/>
        <w:rPr>
          <w:bCs w:val="0"/>
          <w:szCs w:val="24"/>
        </w:rPr>
      </w:pPr>
      <w:r>
        <w:rPr>
          <w:bCs w:val="0"/>
          <w:szCs w:val="24"/>
        </w:rPr>
        <w:t>1</w:t>
      </w:r>
      <w:r>
        <w:rPr>
          <w:rFonts w:hint="eastAsia"/>
          <w:bCs w:val="0"/>
          <w:szCs w:val="24"/>
        </w:rPr>
        <w:t>、</w:t>
      </w:r>
      <w:r>
        <w:rPr>
          <w:bCs w:val="0"/>
          <w:szCs w:val="24"/>
        </w:rPr>
        <w:t>2020</w:t>
      </w:r>
      <w:r>
        <w:rPr>
          <w:rFonts w:hint="eastAsia"/>
          <w:bCs w:val="0"/>
          <w:szCs w:val="24"/>
        </w:rPr>
        <w:t>年起首次执行新收入准则、新租赁准则调整首次执行当年年初财务报表相关情况</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pStyle w:val="Section"/>
        <w:outlineLvl w:val="2"/>
        <w:rPr>
          <w:bCs w:val="0"/>
          <w:szCs w:val="24"/>
        </w:rPr>
      </w:pPr>
      <w:r>
        <w:rPr>
          <w:bCs w:val="0"/>
          <w:szCs w:val="24"/>
        </w:rPr>
        <w:lastRenderedPageBreak/>
        <w:t>2</w:t>
      </w:r>
      <w:r>
        <w:rPr>
          <w:rFonts w:hint="eastAsia"/>
          <w:bCs w:val="0"/>
          <w:szCs w:val="24"/>
        </w:rPr>
        <w:t>、</w:t>
      </w:r>
      <w:r>
        <w:rPr>
          <w:bCs w:val="0"/>
          <w:szCs w:val="24"/>
        </w:rPr>
        <w:t>2020</w:t>
      </w:r>
      <w:r>
        <w:rPr>
          <w:rFonts w:hint="eastAsia"/>
          <w:bCs w:val="0"/>
          <w:szCs w:val="24"/>
        </w:rPr>
        <w:t>年起首次执行新收入准则、新租赁准则追溯调整前期比较数据的说明</w:t>
      </w:r>
    </w:p>
    <w:p w:rsidR="00EE7DA4" w:rsidRDefault="00EE7DA4">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EE7DA4" w:rsidRDefault="00EE7DA4">
      <w:pPr>
        <w:pStyle w:val="Chapter"/>
        <w:outlineLvl w:val="1"/>
        <w:rPr>
          <w:bCs w:val="0"/>
        </w:rPr>
      </w:pPr>
      <w:r>
        <w:rPr>
          <w:rFonts w:hint="eastAsia"/>
          <w:bCs w:val="0"/>
        </w:rPr>
        <w:t>三、审计报告</w:t>
      </w:r>
    </w:p>
    <w:p w:rsidR="00EE7DA4" w:rsidRDefault="00EE7DA4">
      <w:pPr>
        <w:jc w:val="left"/>
        <w:rPr>
          <w:szCs w:val="24"/>
        </w:rPr>
      </w:pPr>
      <w:r>
        <w:rPr>
          <w:rFonts w:hint="eastAsia"/>
          <w:szCs w:val="24"/>
        </w:rPr>
        <w:t>第一季度报告是否经过审计</w:t>
      </w:r>
    </w:p>
    <w:p w:rsidR="00EE7DA4" w:rsidRDefault="00EE7DA4">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EE7DA4" w:rsidRDefault="00EE7DA4">
      <w:pPr>
        <w:jc w:val="left"/>
        <w:rPr>
          <w:szCs w:val="24"/>
        </w:rPr>
      </w:pPr>
      <w:r>
        <w:rPr>
          <w:rFonts w:hint="eastAsia"/>
          <w:szCs w:val="24"/>
        </w:rPr>
        <w:t>公司第一季度报告未经审计。</w:t>
      </w:r>
    </w:p>
    <w:sectPr w:rsidR="00EE7DA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DA4" w:rsidRDefault="00EE7DA4">
      <w:pPr>
        <w:spacing w:before="0" w:after="0"/>
      </w:pPr>
      <w:r>
        <w:separator/>
      </w:r>
    </w:p>
  </w:endnote>
  <w:endnote w:type="continuationSeparator" w:id="0">
    <w:p w:rsidR="00EE7DA4" w:rsidRDefault="00EE7D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A9" w:rsidRDefault="00DE48A9">
    <w:pPr>
      <w:pStyle w:val="a5"/>
      <w:jc w:val="center"/>
    </w:pPr>
    <w:r>
      <w:fldChar w:fldCharType="begin"/>
    </w:r>
    <w:r>
      <w:instrText>PAGE   \* MERGEFORMAT</w:instrText>
    </w:r>
    <w:r>
      <w:fldChar w:fldCharType="separate"/>
    </w:r>
    <w:r w:rsidR="005A50D2" w:rsidRPr="005A50D2">
      <w:rPr>
        <w:noProof/>
        <w:lang w:val="zh-CN"/>
      </w:rPr>
      <w:t>23</w:t>
    </w:r>
    <w:r>
      <w:fldChar w:fldCharType="end"/>
    </w:r>
  </w:p>
  <w:p w:rsidR="00EE7DA4" w:rsidRDefault="00EE7D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DA4" w:rsidRDefault="00EE7DA4">
      <w:pPr>
        <w:spacing w:before="0" w:after="0"/>
      </w:pPr>
      <w:r>
        <w:separator/>
      </w:r>
    </w:p>
  </w:footnote>
  <w:footnote w:type="continuationSeparator" w:id="0">
    <w:p w:rsidR="00EE7DA4" w:rsidRDefault="00EE7DA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A4" w:rsidRDefault="00EE7DA4">
    <w:pPr>
      <w:pStyle w:val="a4"/>
    </w:pPr>
    <w:r>
      <w:rPr>
        <w:rFonts w:hint="eastAsia"/>
      </w:rPr>
      <w:t>华孚时尚股份有限公司</w:t>
    </w:r>
    <w:r>
      <w:t>2020</w:t>
    </w:r>
    <w:r>
      <w:rPr>
        <w:rFonts w:hint="eastAsia"/>
      </w:rPr>
      <w:t>年第一季度报告全文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B3D"/>
    <w:rsid w:val="00022B3D"/>
    <w:rsid w:val="005A50D2"/>
    <w:rsid w:val="00DE48A9"/>
    <w:rsid w:val="00EE7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40" w:after="40"/>
      <w:jc w:val="both"/>
    </w:pPr>
    <w:rPr>
      <w:rFonts w:ascii="Times New Roman" w:eastAsia="宋体" w:hAnsi="Times New Roman"/>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locked/>
    <w:rPr>
      <w:rFonts w:asciiTheme="majorHAnsi" w:eastAsia="宋体" w:hAnsiTheme="majorHAnsi" w:cs="Times New Roman"/>
      <w:b/>
      <w:bCs/>
      <w:sz w:val="32"/>
      <w:szCs w:val="32"/>
    </w:rPr>
  </w:style>
  <w:style w:type="paragraph" w:customStyle="1" w:styleId="Chapter">
    <w:name w:val="Chapter"/>
    <w:next w:val="a"/>
    <w:uiPriority w:val="99"/>
    <w:pPr>
      <w:keepNext/>
      <w:keepLines/>
      <w:widowControl w:val="0"/>
      <w:spacing w:before="300" w:after="300" w:line="241" w:lineRule="auto"/>
      <w:jc w:val="both"/>
    </w:pPr>
    <w:rPr>
      <w:rFonts w:ascii="Times New Roman" w:eastAsia="宋体" w:hAnsi="Times New Roman"/>
      <w:b/>
      <w:bCs/>
      <w:kern w:val="28"/>
      <w:sz w:val="24"/>
      <w:szCs w:val="24"/>
    </w:rPr>
  </w:style>
  <w:style w:type="paragraph" w:customStyle="1" w:styleId="Section">
    <w:name w:val="Section"/>
    <w:next w:val="a"/>
    <w:uiPriority w:val="99"/>
    <w:pPr>
      <w:keepNext/>
      <w:keepLines/>
      <w:widowControl w:val="0"/>
      <w:spacing w:before="300" w:after="300" w:line="241" w:lineRule="auto"/>
      <w:jc w:val="both"/>
    </w:pPr>
    <w:rPr>
      <w:rFonts w:ascii="Times New Roman" w:eastAsia="宋体" w:hAnsi="Times New Roman"/>
      <w:b/>
      <w:bCs/>
      <w:kern w:val="28"/>
    </w:rPr>
  </w:style>
  <w:style w:type="paragraph" w:styleId="a4">
    <w:name w:val="header"/>
    <w:basedOn w:val="a"/>
    <w:link w:val="Char0"/>
    <w:uiPriority w:val="99"/>
    <w:pPr>
      <w:pBdr>
        <w:bottom w:val="single" w:sz="6" w:space="1" w:color="auto"/>
      </w:pBdr>
      <w:tabs>
        <w:tab w:val="center" w:pos="4153"/>
        <w:tab w:val="right" w:pos="8306"/>
      </w:tabs>
      <w:snapToGrid w:val="0"/>
      <w:spacing w:before="0" w:after="0"/>
      <w:jc w:val="right"/>
    </w:pPr>
  </w:style>
  <w:style w:type="character" w:customStyle="1" w:styleId="Char0">
    <w:name w:val="页眉 Char"/>
    <w:basedOn w:val="a0"/>
    <w:link w:val="a4"/>
    <w:uiPriority w:val="99"/>
    <w:semiHidden/>
    <w:locked/>
    <w:rPr>
      <w:rFonts w:ascii="Times New Roman" w:eastAsia="宋体" w:hAnsi="Times New Roman" w:cs="Times New Roman"/>
      <w:sz w:val="18"/>
      <w:szCs w:val="18"/>
    </w:rPr>
  </w:style>
  <w:style w:type="paragraph" w:styleId="a5">
    <w:name w:val="footer"/>
    <w:basedOn w:val="a"/>
    <w:link w:val="Char1"/>
    <w:uiPriority w:val="99"/>
    <w:pPr>
      <w:tabs>
        <w:tab w:val="center" w:pos="4153"/>
        <w:tab w:val="right" w:pos="8306"/>
      </w:tabs>
      <w:snapToGrid w:val="0"/>
      <w:spacing w:before="0" w:after="0"/>
      <w:jc w:val="right"/>
    </w:pPr>
  </w:style>
  <w:style w:type="character" w:customStyle="1" w:styleId="Char1">
    <w:name w:val="页脚 Char"/>
    <w:basedOn w:val="a0"/>
    <w:link w:val="a5"/>
    <w:uiPriority w:val="99"/>
    <w:lock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40" w:after="40"/>
      <w:jc w:val="both"/>
    </w:pPr>
    <w:rPr>
      <w:rFonts w:ascii="Times New Roman" w:eastAsia="宋体" w:hAnsi="Times New Roman"/>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locked/>
    <w:rPr>
      <w:rFonts w:asciiTheme="majorHAnsi" w:eastAsia="宋体" w:hAnsiTheme="majorHAnsi" w:cs="Times New Roman"/>
      <w:b/>
      <w:bCs/>
      <w:sz w:val="32"/>
      <w:szCs w:val="32"/>
    </w:rPr>
  </w:style>
  <w:style w:type="paragraph" w:customStyle="1" w:styleId="Chapter">
    <w:name w:val="Chapter"/>
    <w:next w:val="a"/>
    <w:uiPriority w:val="99"/>
    <w:pPr>
      <w:keepNext/>
      <w:keepLines/>
      <w:widowControl w:val="0"/>
      <w:spacing w:before="300" w:after="300" w:line="241" w:lineRule="auto"/>
      <w:jc w:val="both"/>
    </w:pPr>
    <w:rPr>
      <w:rFonts w:ascii="Times New Roman" w:eastAsia="宋体" w:hAnsi="Times New Roman"/>
      <w:b/>
      <w:bCs/>
      <w:kern w:val="28"/>
      <w:sz w:val="24"/>
      <w:szCs w:val="24"/>
    </w:rPr>
  </w:style>
  <w:style w:type="paragraph" w:customStyle="1" w:styleId="Section">
    <w:name w:val="Section"/>
    <w:next w:val="a"/>
    <w:uiPriority w:val="99"/>
    <w:pPr>
      <w:keepNext/>
      <w:keepLines/>
      <w:widowControl w:val="0"/>
      <w:spacing w:before="300" w:after="300" w:line="241" w:lineRule="auto"/>
      <w:jc w:val="both"/>
    </w:pPr>
    <w:rPr>
      <w:rFonts w:ascii="Times New Roman" w:eastAsia="宋体" w:hAnsi="Times New Roman"/>
      <w:b/>
      <w:bCs/>
      <w:kern w:val="28"/>
    </w:rPr>
  </w:style>
  <w:style w:type="paragraph" w:styleId="a4">
    <w:name w:val="header"/>
    <w:basedOn w:val="a"/>
    <w:link w:val="Char0"/>
    <w:uiPriority w:val="99"/>
    <w:pPr>
      <w:pBdr>
        <w:bottom w:val="single" w:sz="6" w:space="1" w:color="auto"/>
      </w:pBdr>
      <w:tabs>
        <w:tab w:val="center" w:pos="4153"/>
        <w:tab w:val="right" w:pos="8306"/>
      </w:tabs>
      <w:snapToGrid w:val="0"/>
      <w:spacing w:before="0" w:after="0"/>
      <w:jc w:val="right"/>
    </w:pPr>
  </w:style>
  <w:style w:type="character" w:customStyle="1" w:styleId="Char0">
    <w:name w:val="页眉 Char"/>
    <w:basedOn w:val="a0"/>
    <w:link w:val="a4"/>
    <w:uiPriority w:val="99"/>
    <w:semiHidden/>
    <w:locked/>
    <w:rPr>
      <w:rFonts w:ascii="Times New Roman" w:eastAsia="宋体" w:hAnsi="Times New Roman" w:cs="Times New Roman"/>
      <w:sz w:val="18"/>
      <w:szCs w:val="18"/>
    </w:rPr>
  </w:style>
  <w:style w:type="paragraph" w:styleId="a5">
    <w:name w:val="footer"/>
    <w:basedOn w:val="a"/>
    <w:link w:val="Char1"/>
    <w:uiPriority w:val="99"/>
    <w:pPr>
      <w:tabs>
        <w:tab w:val="center" w:pos="4153"/>
        <w:tab w:val="right" w:pos="8306"/>
      </w:tabs>
      <w:snapToGrid w:val="0"/>
      <w:spacing w:before="0" w:after="0"/>
      <w:jc w:val="right"/>
    </w:pPr>
  </w:style>
  <w:style w:type="character" w:customStyle="1" w:styleId="Char1">
    <w:name w:val="页脚 Char"/>
    <w:basedOn w:val="a0"/>
    <w:link w:val="a5"/>
    <w:uiPriority w:val="99"/>
    <w:lock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2672</Words>
  <Characters>15232</Characters>
  <Application>Microsoft Office Word</Application>
  <DocSecurity>0</DocSecurity>
  <Lines>126</Lines>
  <Paragraphs>35</Paragraphs>
  <ScaleCrop>false</ScaleCrop>
  <Company>微软公司</Company>
  <LinksUpToDate>false</LinksUpToDate>
  <CharactersWithSpaces>17869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华孚时尚股份有限公司2020年第一季度报告全文</dc:title>
  <dc:creator>华孚时尚股份有限公司</dc:creator>
  <cp:lastModifiedBy>杨溶</cp:lastModifiedBy>
  <cp:revision>2</cp:revision>
  <dcterms:created xsi:type="dcterms:W3CDTF">2020-04-28T11:00:00Z</dcterms:created>
  <dcterms:modified xsi:type="dcterms:W3CDTF">2020-04-28T11:00:00Z</dcterms:modified>
</cp:coreProperties>
</file>