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695A" w:rsidRDefault="00E93918" w:rsidP="0001695A">
      <w:pPr>
        <w:wordWrap w:val="0"/>
        <w:spacing w:before="0" w:after="0" w:line="440" w:lineRule="exact"/>
        <w:jc w:val="center"/>
        <w:rPr>
          <w:rFonts w:ascii="黑体" w:eastAsia="黑体" w:hAnsi="黑体"/>
          <w:bCs/>
          <w:kern w:val="0"/>
          <w:sz w:val="21"/>
          <w:szCs w:val="21"/>
        </w:rPr>
      </w:pPr>
      <w:r w:rsidRPr="0001695A">
        <w:rPr>
          <w:rFonts w:ascii="黑体" w:eastAsia="黑体" w:hAnsi="黑体"/>
          <w:bCs/>
          <w:kern w:val="0"/>
          <w:sz w:val="21"/>
          <w:szCs w:val="21"/>
        </w:rPr>
        <w:t>证券代码：</w:t>
      </w:r>
      <w:r w:rsidRPr="0001695A">
        <w:rPr>
          <w:rFonts w:ascii="黑体" w:eastAsia="黑体" w:hAnsi="黑体"/>
          <w:bCs/>
          <w:kern w:val="0"/>
          <w:sz w:val="21"/>
          <w:szCs w:val="21"/>
        </w:rPr>
        <w:t xml:space="preserve">002042  </w:t>
      </w:r>
      <w:r w:rsidR="0001695A">
        <w:rPr>
          <w:rFonts w:ascii="黑体" w:eastAsia="黑体" w:hAnsi="黑体" w:hint="eastAsia"/>
          <w:bCs/>
          <w:kern w:val="0"/>
          <w:sz w:val="21"/>
          <w:szCs w:val="21"/>
        </w:rPr>
        <w:t xml:space="preserve">                </w:t>
      </w:r>
      <w:r w:rsidRPr="0001695A">
        <w:rPr>
          <w:rFonts w:ascii="黑体" w:eastAsia="黑体" w:hAnsi="黑体"/>
          <w:bCs/>
          <w:kern w:val="0"/>
          <w:sz w:val="21"/>
          <w:szCs w:val="21"/>
        </w:rPr>
        <w:t xml:space="preserve"> </w:t>
      </w:r>
      <w:r w:rsidRPr="0001695A">
        <w:rPr>
          <w:rFonts w:ascii="黑体" w:eastAsia="黑体" w:hAnsi="黑体"/>
          <w:bCs/>
          <w:kern w:val="0"/>
          <w:sz w:val="21"/>
          <w:szCs w:val="21"/>
        </w:rPr>
        <w:t>证券简称：华孚时尚</w:t>
      </w:r>
      <w:r w:rsidRPr="0001695A">
        <w:rPr>
          <w:rFonts w:ascii="黑体" w:eastAsia="黑体" w:hAnsi="黑体"/>
          <w:bCs/>
          <w:kern w:val="0"/>
          <w:sz w:val="21"/>
          <w:szCs w:val="21"/>
        </w:rPr>
        <w:t xml:space="preserve">   </w:t>
      </w:r>
      <w:r w:rsidR="0001695A">
        <w:rPr>
          <w:rFonts w:ascii="黑体" w:eastAsia="黑体" w:hAnsi="黑体" w:hint="eastAsia"/>
          <w:bCs/>
          <w:kern w:val="0"/>
          <w:sz w:val="21"/>
          <w:szCs w:val="21"/>
        </w:rPr>
        <w:t xml:space="preserve">                  </w:t>
      </w:r>
      <w:r w:rsidRPr="0001695A">
        <w:rPr>
          <w:rFonts w:ascii="黑体" w:eastAsia="黑体" w:hAnsi="黑体"/>
          <w:bCs/>
          <w:kern w:val="0"/>
          <w:sz w:val="21"/>
          <w:szCs w:val="21"/>
        </w:rPr>
        <w:t>公告编号：</w:t>
      </w:r>
      <w:r w:rsidR="0001695A">
        <w:rPr>
          <w:rFonts w:ascii="黑体" w:eastAsia="黑体" w:hAnsi="黑体" w:hint="eastAsia"/>
          <w:bCs/>
          <w:kern w:val="0"/>
          <w:sz w:val="21"/>
          <w:szCs w:val="21"/>
        </w:rPr>
        <w:t>2022-28</w:t>
      </w:r>
    </w:p>
    <w:p w:rsidR="00000000" w:rsidRPr="0001695A" w:rsidRDefault="00E93918" w:rsidP="0001695A">
      <w:pPr>
        <w:wordWrap w:val="0"/>
        <w:autoSpaceDE w:val="0"/>
        <w:autoSpaceDN w:val="0"/>
        <w:adjustRightInd w:val="0"/>
        <w:spacing w:beforeLines="200" w:before="480" w:afterLines="200" w:after="480" w:line="480" w:lineRule="exact"/>
        <w:jc w:val="center"/>
        <w:rPr>
          <w:rFonts w:asciiTheme="minorEastAsia" w:eastAsiaTheme="minorEastAsia" w:hAnsiTheme="minorEastAsia"/>
          <w:b/>
          <w:kern w:val="0"/>
          <w:sz w:val="36"/>
          <w:szCs w:val="36"/>
        </w:rPr>
      </w:pPr>
      <w:r w:rsidRPr="0001695A">
        <w:rPr>
          <w:rFonts w:asciiTheme="minorEastAsia" w:eastAsiaTheme="minorEastAsia" w:hAnsiTheme="minorEastAsia"/>
          <w:b/>
          <w:kern w:val="0"/>
          <w:sz w:val="36"/>
          <w:szCs w:val="36"/>
        </w:rPr>
        <w:t>华孚时尚股份有限公司</w:t>
      </w:r>
    </w:p>
    <w:p w:rsidR="00000000" w:rsidRPr="0001695A" w:rsidRDefault="00E93918" w:rsidP="0001695A">
      <w:pPr>
        <w:wordWrap w:val="0"/>
        <w:autoSpaceDE w:val="0"/>
        <w:autoSpaceDN w:val="0"/>
        <w:adjustRightInd w:val="0"/>
        <w:spacing w:beforeLines="200" w:before="480" w:afterLines="200" w:after="480" w:line="480" w:lineRule="exact"/>
        <w:jc w:val="center"/>
        <w:rPr>
          <w:rFonts w:asciiTheme="minorEastAsia" w:eastAsiaTheme="minorEastAsia" w:hAnsiTheme="minorEastAsia"/>
          <w:b/>
          <w:kern w:val="0"/>
          <w:sz w:val="36"/>
          <w:szCs w:val="36"/>
        </w:rPr>
      </w:pPr>
      <w:r w:rsidRPr="0001695A">
        <w:rPr>
          <w:rFonts w:asciiTheme="minorEastAsia" w:eastAsiaTheme="minorEastAsia" w:hAnsiTheme="minorEastAsia"/>
          <w:b/>
          <w:kern w:val="0"/>
          <w:sz w:val="36"/>
          <w:szCs w:val="36"/>
        </w:rPr>
        <w:t>2022</w:t>
      </w:r>
      <w:r w:rsidRPr="0001695A">
        <w:rPr>
          <w:rFonts w:asciiTheme="minorEastAsia" w:eastAsiaTheme="minorEastAsia" w:hAnsiTheme="minorEastAsia"/>
          <w:b/>
          <w:kern w:val="0"/>
          <w:sz w:val="36"/>
          <w:szCs w:val="36"/>
        </w:rPr>
        <w:t>年第一季度报告</w:t>
      </w:r>
    </w:p>
    <w:tbl>
      <w:tblPr>
        <w:tblW w:w="0" w:type="auto"/>
        <w:tblInd w:w="28" w:type="dxa"/>
        <w:tblLayout w:type="fixed"/>
        <w:tblCellMar>
          <w:left w:w="28" w:type="dxa"/>
          <w:right w:w="28" w:type="dxa"/>
        </w:tblCellMar>
        <w:tblLook w:val="0000" w:firstRow="0" w:lastRow="0" w:firstColumn="0" w:lastColumn="0" w:noHBand="0" w:noVBand="0"/>
      </w:tblPr>
      <w:tblGrid>
        <w:gridCol w:w="9600"/>
      </w:tblGrid>
      <w:tr w:rsidR="00000000" w:rsidTr="0001695A">
        <w:tblPrEx>
          <w:tblCellMar>
            <w:top w:w="0" w:type="dxa"/>
            <w:bottom w:w="0" w:type="dxa"/>
          </w:tblCellMar>
        </w:tblPrEx>
        <w:tc>
          <w:tcPr>
            <w:tcW w:w="9600" w:type="dxa"/>
            <w:vAlign w:val="center"/>
          </w:tcPr>
          <w:p w:rsidR="00000000" w:rsidRPr="0001695A" w:rsidRDefault="00E93918" w:rsidP="0001695A">
            <w:pPr>
              <w:spacing w:before="100" w:after="100"/>
              <w:ind w:firstLineChars="200" w:firstLine="480"/>
              <w:rPr>
                <w:rFonts w:ascii="楷体" w:eastAsia="楷体" w:hAnsi="楷体"/>
                <w:sz w:val="24"/>
                <w:szCs w:val="24"/>
              </w:rPr>
            </w:pPr>
            <w:r w:rsidRPr="0001695A">
              <w:rPr>
                <w:rFonts w:ascii="楷体" w:eastAsia="楷体" w:hAnsi="楷体"/>
                <w:sz w:val="24"/>
                <w:szCs w:val="24"/>
              </w:rPr>
              <w:t>本公司及董事会全体成员保证信息披露的内容真实、准确、完整，没有虚假记载、误导性陈述或重大遗漏。</w:t>
            </w:r>
          </w:p>
        </w:tc>
      </w:tr>
    </w:tbl>
    <w:p w:rsidR="00000000" w:rsidRPr="0001695A" w:rsidRDefault="00E93918" w:rsidP="0001695A">
      <w:pPr>
        <w:pStyle w:val="Chapter"/>
        <w:outlineLvl w:val="1"/>
      </w:pPr>
      <w:r w:rsidRPr="0001695A">
        <w:t>重要内容提示</w:t>
      </w:r>
      <w:r w:rsidRPr="0001695A">
        <w:t>:</w:t>
      </w:r>
    </w:p>
    <w:p w:rsidR="00000000" w:rsidRPr="0001695A" w:rsidRDefault="00E93918" w:rsidP="0001695A">
      <w:pPr>
        <w:spacing w:before="0" w:after="0" w:line="500" w:lineRule="exact"/>
        <w:jc w:val="left"/>
      </w:pPr>
      <w:r w:rsidRPr="0001695A">
        <w:t>1.</w:t>
      </w:r>
      <w:r w:rsidRPr="0001695A">
        <w:t>董事会、监事</w:t>
      </w:r>
      <w:r w:rsidRPr="0001695A">
        <w:t>会及董事、监事、高级管理人员保证季度报告的真实、准确、完整，不存在虚假记载、误导性陈述或重大遗漏，并承担个别和连带的法律责任。</w:t>
      </w:r>
    </w:p>
    <w:p w:rsidR="00000000" w:rsidRPr="0001695A" w:rsidRDefault="00E93918" w:rsidP="0001695A">
      <w:pPr>
        <w:spacing w:before="0" w:after="0" w:line="500" w:lineRule="exact"/>
        <w:jc w:val="left"/>
      </w:pPr>
      <w:r w:rsidRPr="0001695A">
        <w:t>2.</w:t>
      </w:r>
      <w:r w:rsidRPr="0001695A">
        <w:t>公司负责人、主管会计工作负责人及会计机构负责人</w:t>
      </w:r>
      <w:r w:rsidRPr="0001695A">
        <w:t>(</w:t>
      </w:r>
      <w:r w:rsidRPr="0001695A">
        <w:t>会计主管人员</w:t>
      </w:r>
      <w:r w:rsidRPr="0001695A">
        <w:t>)</w:t>
      </w:r>
      <w:r w:rsidRPr="0001695A">
        <w:t>声明：保证季度报告中财务信息的真实、准确、完整。</w:t>
      </w:r>
    </w:p>
    <w:p w:rsidR="00000000" w:rsidRPr="0001695A" w:rsidRDefault="00E93918" w:rsidP="0001695A">
      <w:pPr>
        <w:spacing w:before="0" w:after="0" w:line="500" w:lineRule="exact"/>
        <w:jc w:val="left"/>
      </w:pPr>
      <w:r w:rsidRPr="0001695A">
        <w:t>3.</w:t>
      </w:r>
      <w:r w:rsidRPr="0001695A">
        <w:t>第一季度报告是否经过审计</w:t>
      </w:r>
    </w:p>
    <w:p w:rsidR="00000000" w:rsidRPr="0001695A" w:rsidRDefault="00E93918" w:rsidP="0001695A">
      <w:pPr>
        <w:spacing w:before="0" w:after="0" w:line="500" w:lineRule="exact"/>
        <w:jc w:val="left"/>
      </w:pPr>
      <w:r w:rsidRPr="0001695A">
        <w:t xml:space="preserve">□ </w:t>
      </w:r>
      <w:r w:rsidRPr="0001695A">
        <w:t>是</w:t>
      </w:r>
      <w:r w:rsidRPr="0001695A">
        <w:t xml:space="preserve"> √ </w:t>
      </w:r>
      <w:r w:rsidRPr="0001695A">
        <w:t>否</w:t>
      </w:r>
      <w:r w:rsidRPr="0001695A">
        <w:t xml:space="preserve"> </w:t>
      </w:r>
    </w:p>
    <w:p w:rsidR="00000000" w:rsidRDefault="00E93918">
      <w:pPr>
        <w:pStyle w:val="Chapter"/>
        <w:outlineLvl w:val="1"/>
      </w:pPr>
      <w:r>
        <w:t>一、主要财务数据</w:t>
      </w:r>
    </w:p>
    <w:p w:rsidR="00000000" w:rsidRDefault="00E93918">
      <w:pPr>
        <w:pStyle w:val="Section"/>
        <w:outlineLvl w:val="2"/>
      </w:pPr>
      <w:r>
        <w:t>(</w:t>
      </w:r>
      <w:r>
        <w:t>一</w:t>
      </w:r>
      <w:r>
        <w:t>)</w:t>
      </w:r>
      <w:r>
        <w:t>主要会计数据和财务指标</w:t>
      </w:r>
    </w:p>
    <w:p w:rsidR="00000000" w:rsidRDefault="00E93918">
      <w:pPr>
        <w:jc w:val="left"/>
      </w:pPr>
      <w:r>
        <w:t>公司是否需追溯调整或重述以前年度会计数据</w:t>
      </w:r>
    </w:p>
    <w:p w:rsidR="00000000" w:rsidRDefault="00E93918">
      <w:pPr>
        <w:jc w:val="left"/>
      </w:pPr>
      <w:r>
        <w:t xml:space="preserve">□ </w:t>
      </w:r>
      <w:r>
        <w:t>是</w:t>
      </w:r>
      <w:r>
        <w:t xml:space="preserve"> √ </w:t>
      </w:r>
      <w:r>
        <w:t>否</w:t>
      </w:r>
      <w: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203"/>
        <w:gridCol w:w="2122"/>
        <w:gridCol w:w="2122"/>
        <w:gridCol w:w="2122"/>
      </w:tblGrid>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本报告期</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上年同期</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本报告期比上年同期增减</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营业收入（元）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4,147,121,738.76</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3,844,5</w:t>
            </w:r>
            <w:r>
              <w:t>40,972.24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7.87%</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归属于上市公司股东的净利润（元）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150,058,072.74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131,213,682.07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14.36%</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归属于上市公司股东的扣除非经常性损益的净利润（元）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132,151,829.13</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58,360,163.57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126.44%</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经营活动产生的现金流量净额（元）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687,085,984.34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911,244,090.68</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-24.60%</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基本每股收益（元</w:t>
            </w:r>
            <w:r>
              <w:t>/</w:t>
            </w:r>
            <w:r>
              <w:t>股）</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0.00%</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稀释每股收益（元</w:t>
            </w:r>
            <w:r>
              <w:t>/</w:t>
            </w:r>
            <w:r>
              <w:t>股）</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0.00%</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加权平均净资</w:t>
            </w:r>
            <w:r>
              <w:t>产收益率</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2.12%</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2.27%</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-0.15%</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本报告期末</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上年度末</w:t>
            </w:r>
          </w:p>
        </w:tc>
        <w:tc>
          <w:tcPr>
            <w:tcW w:w="2122"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本报告期末比上年度末增减</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总资产（元）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20,678,107,302.49</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20,138,185,868.88</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2.68%</w:t>
            </w:r>
          </w:p>
        </w:tc>
      </w:tr>
      <w:tr w:rsidR="00000000">
        <w:tblPrEx>
          <w:tblCellMar>
            <w:top w:w="0" w:type="dxa"/>
            <w:bottom w:w="0" w:type="dxa"/>
          </w:tblCellMar>
        </w:tblPrEx>
        <w:tc>
          <w:tcPr>
            <w:tcW w:w="320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归属于上市公司股东的所有者权益（元）</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7,119,770,695.24</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7,009,197,204.12</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1.58%</w:t>
            </w:r>
          </w:p>
        </w:tc>
      </w:tr>
    </w:tbl>
    <w:p w:rsidR="00000000" w:rsidRDefault="00E93918">
      <w:pPr>
        <w:pStyle w:val="Section"/>
        <w:outlineLvl w:val="2"/>
      </w:pPr>
      <w:r>
        <w:lastRenderedPageBreak/>
        <w:t>(</w:t>
      </w:r>
      <w:r>
        <w:t>二</w:t>
      </w:r>
      <w:r>
        <w:t>)</w:t>
      </w:r>
      <w:r>
        <w:t>非经常性损益项目和金额</w:t>
      </w:r>
    </w:p>
    <w:p w:rsidR="00000000" w:rsidRDefault="00E93918">
      <w:pPr>
        <w:jc w:val="left"/>
      </w:pPr>
      <w:r>
        <w:t xml:space="preserve">√ </w:t>
      </w:r>
      <w:r>
        <w:t>适用</w:t>
      </w:r>
      <w:r>
        <w:t xml:space="preserve"> □ </w:t>
      </w:r>
      <w:r>
        <w:t>不适用</w:t>
      </w:r>
      <w:r>
        <w:t xml:space="preserve"> </w:t>
      </w:r>
    </w:p>
    <w:p w:rsidR="00000000" w:rsidRDefault="00E93918">
      <w:pPr>
        <w:jc w:val="right"/>
      </w:pPr>
      <w:r>
        <w:t>单位：元</w:t>
      </w:r>
    </w:p>
    <w:tbl>
      <w:tblPr>
        <w:tblW w:w="0" w:type="auto"/>
        <w:tblInd w:w="28" w:type="dxa"/>
        <w:tblLayout w:type="fixed"/>
        <w:tblCellMar>
          <w:left w:w="28" w:type="dxa"/>
          <w:right w:w="28" w:type="dxa"/>
        </w:tblCellMar>
        <w:tblLook w:val="0000" w:firstRow="0" w:lastRow="0" w:firstColumn="0" w:lastColumn="0" w:noHBand="0" w:noVBand="0"/>
      </w:tblPr>
      <w:tblGrid>
        <w:gridCol w:w="4830"/>
        <w:gridCol w:w="2231"/>
        <w:gridCol w:w="2507"/>
      </w:tblGrid>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项目</w:t>
            </w:r>
          </w:p>
        </w:tc>
        <w:tc>
          <w:tcPr>
            <w:tcW w:w="223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本报告期金额</w:t>
            </w:r>
          </w:p>
        </w:tc>
        <w:tc>
          <w:tcPr>
            <w:tcW w:w="250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说明</w:t>
            </w: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非流动资产处置损益（包括已计提资产减值准备的冲销部分）</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-1,040,531.22</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计入当期损</w:t>
            </w:r>
            <w:r>
              <w:t>益的政府补助（与公司正常经营业务密切相关，符合国家政策规定、按照一定标准定额或定量持续享受的政府补助除外）</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7,820,033.30</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14,216,960.79</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除上述各项之外的其他营业外收入和支出</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-616,236.96</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减：所得税影响额</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430,753.52</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 xml:space="preserve">　　少数股东权益影响额（税后）</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2,043,228.78</w:t>
            </w:r>
          </w:p>
        </w:tc>
        <w:tc>
          <w:tcPr>
            <w:tcW w:w="250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pPr>
          </w:p>
        </w:tc>
      </w:tr>
      <w:tr w:rsidR="00000000">
        <w:tblPrEx>
          <w:tblCellMar>
            <w:top w:w="0" w:type="dxa"/>
            <w:bottom w:w="0" w:type="dxa"/>
          </w:tblCellMar>
        </w:tblPrEx>
        <w:tc>
          <w:tcPr>
            <w:tcW w:w="483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pPr>
            <w:r>
              <w:t>合计</w:t>
            </w:r>
          </w:p>
        </w:tc>
        <w:tc>
          <w:tcPr>
            <w:tcW w:w="22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pPr>
            <w:r>
              <w:t>17,906,243.61</w:t>
            </w:r>
          </w:p>
        </w:tc>
        <w:tc>
          <w:tcPr>
            <w:tcW w:w="250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pPr>
            <w:r>
              <w:t>--</w:t>
            </w:r>
          </w:p>
        </w:tc>
      </w:tr>
    </w:tbl>
    <w:p w:rsidR="00000000" w:rsidRDefault="00E93918" w:rsidP="0001695A">
      <w:pPr>
        <w:spacing w:before="0" w:after="0" w:line="500" w:lineRule="exact"/>
        <w:jc w:val="left"/>
      </w:pPr>
      <w:r>
        <w:t>其他符合非经常性损益定义的损益项目的具体情况：</w:t>
      </w:r>
    </w:p>
    <w:p w:rsidR="00000000" w:rsidRDefault="00E93918" w:rsidP="0001695A">
      <w:pPr>
        <w:spacing w:before="0" w:after="0" w:line="500" w:lineRule="exact"/>
        <w:jc w:val="left"/>
      </w:pPr>
      <w:r>
        <w:t xml:space="preserve">□ </w:t>
      </w:r>
      <w:r>
        <w:t>适用</w:t>
      </w:r>
      <w:r>
        <w:t xml:space="preserve"> √ </w:t>
      </w:r>
      <w:r>
        <w:t>不适用</w:t>
      </w:r>
      <w:r>
        <w:t xml:space="preserve"> </w:t>
      </w:r>
    </w:p>
    <w:p w:rsidR="00000000" w:rsidRDefault="00E93918" w:rsidP="0001695A">
      <w:pPr>
        <w:spacing w:before="0" w:after="0" w:line="500" w:lineRule="exact"/>
        <w:jc w:val="left"/>
      </w:pPr>
      <w:r>
        <w:t>公司不存在其他符合非经常性损益定义的损益项目的具体情况。</w:t>
      </w:r>
    </w:p>
    <w:p w:rsidR="00000000" w:rsidRDefault="00E93918" w:rsidP="0001695A">
      <w:pPr>
        <w:spacing w:before="0" w:after="0" w:line="500" w:lineRule="exact"/>
        <w:jc w:val="left"/>
      </w:pPr>
      <w:r>
        <w:t>将《公开发行证券的公司信息披露解释性公告第</w:t>
      </w:r>
      <w:r>
        <w:t>1</w:t>
      </w:r>
      <w:r>
        <w:t>号</w:t>
      </w:r>
      <w:r>
        <w:t>——</w:t>
      </w:r>
      <w:r>
        <w:t>非经常性损益》中列举的非经常性损益项目界定为经常性损益项目的情况说明</w:t>
      </w:r>
    </w:p>
    <w:p w:rsidR="00000000" w:rsidRDefault="00E93918" w:rsidP="0001695A">
      <w:pPr>
        <w:spacing w:before="0" w:after="0" w:line="500" w:lineRule="exact"/>
        <w:jc w:val="left"/>
      </w:pPr>
      <w:r>
        <w:t xml:space="preserve">□ </w:t>
      </w:r>
      <w:r>
        <w:t>适用</w:t>
      </w:r>
      <w:r>
        <w:t xml:space="preserve"> √ </w:t>
      </w:r>
      <w:r>
        <w:t>不适用</w:t>
      </w:r>
      <w:r>
        <w:t xml:space="preserve"> </w:t>
      </w:r>
    </w:p>
    <w:p w:rsidR="00000000" w:rsidRDefault="00E93918" w:rsidP="0001695A">
      <w:pPr>
        <w:spacing w:before="0" w:after="0" w:line="500" w:lineRule="exact"/>
        <w:jc w:val="left"/>
      </w:pPr>
      <w:r>
        <w:t>公司不存在将《公开发行证券的公司信息披露解释性公告第</w:t>
      </w:r>
      <w:r>
        <w:t>1</w:t>
      </w:r>
      <w:r>
        <w:t>号</w:t>
      </w:r>
      <w:r>
        <w:t>——</w:t>
      </w:r>
      <w:r>
        <w:t>非经常性损益》中列举的非经常性损益项目界定为经常性损益的项目的情形。</w:t>
      </w:r>
    </w:p>
    <w:p w:rsidR="00000000" w:rsidRDefault="00E93918">
      <w:pPr>
        <w:pStyle w:val="Section"/>
        <w:outlineLvl w:val="2"/>
      </w:pPr>
      <w:r>
        <w:t>(</w:t>
      </w:r>
      <w:r>
        <w:t>三</w:t>
      </w:r>
      <w:r>
        <w:t>)</w:t>
      </w:r>
      <w:r>
        <w:t>主要会计数据和财务指标发生变动的情况及原因</w:t>
      </w:r>
      <w:bookmarkStart w:id="0" w:name="_GoBack"/>
      <w:bookmarkEnd w:id="0"/>
    </w:p>
    <w:p w:rsidR="00000000" w:rsidRDefault="00E93918">
      <w:pPr>
        <w:jc w:val="left"/>
      </w:pPr>
      <w:r>
        <w:t xml:space="preserve">√ </w:t>
      </w:r>
      <w:r>
        <w:t>适用</w:t>
      </w:r>
      <w:r>
        <w:t xml:space="preserve"> </w:t>
      </w:r>
      <w:r>
        <w:t xml:space="preserve">□ </w:t>
      </w:r>
      <w:r>
        <w:t>不适用</w:t>
      </w:r>
      <w:r>
        <w:t xml:space="preserve"> </w:t>
      </w:r>
    </w:p>
    <w:p w:rsidR="00000000" w:rsidRDefault="00E93918">
      <w:pPr>
        <w:autoSpaceDE w:val="0"/>
        <w:autoSpaceDN w:val="0"/>
        <w:adjustRightInd w:val="0"/>
        <w:spacing w:before="0" w:after="0"/>
        <w:jc w:val="left"/>
        <w:rPr>
          <w:rFonts w:eastAsia="Times New Roman"/>
          <w:kern w:val="0"/>
          <w:lang w:val="zh-CN"/>
        </w:rPr>
      </w:pPr>
    </w:p>
    <w:tbl>
      <w:tblPr>
        <w:tblW w:w="0" w:type="auto"/>
        <w:jc w:val="center"/>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894"/>
        <w:gridCol w:w="1560"/>
        <w:gridCol w:w="1500"/>
        <w:gridCol w:w="1366"/>
        <w:gridCol w:w="2746"/>
      </w:tblGrid>
      <w:tr w:rsidR="00000000" w:rsidTr="0001695A">
        <w:trPr>
          <w:jc w:val="center"/>
        </w:trPr>
        <w:tc>
          <w:tcPr>
            <w:tcW w:w="2894" w:type="dxa"/>
          </w:tcPr>
          <w:p w:rsidR="00000000" w:rsidRDefault="00E93918">
            <w:pPr>
              <w:autoSpaceDE w:val="0"/>
              <w:autoSpaceDN w:val="0"/>
              <w:adjustRightInd w:val="0"/>
              <w:spacing w:before="0" w:after="0"/>
              <w:jc w:val="center"/>
              <w:rPr>
                <w:rFonts w:eastAsia="Times New Roman"/>
                <w:kern w:val="0"/>
                <w:lang w:val="zh-CN"/>
              </w:rPr>
            </w:pPr>
          </w:p>
        </w:tc>
        <w:tc>
          <w:tcPr>
            <w:tcW w:w="1560" w:type="dxa"/>
            <w:vAlign w:val="center"/>
          </w:tcPr>
          <w:p w:rsidR="00000000" w:rsidRDefault="00E93918" w:rsidP="0001695A">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本报告期</w:t>
            </w:r>
          </w:p>
        </w:tc>
        <w:tc>
          <w:tcPr>
            <w:tcW w:w="1500" w:type="dxa"/>
            <w:vAlign w:val="center"/>
          </w:tcPr>
          <w:p w:rsidR="00000000" w:rsidRDefault="00E93918" w:rsidP="0001695A">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上年同期</w:t>
            </w:r>
          </w:p>
        </w:tc>
        <w:tc>
          <w:tcPr>
            <w:tcW w:w="1366" w:type="dxa"/>
            <w:vAlign w:val="center"/>
          </w:tcPr>
          <w:p w:rsidR="00000000" w:rsidRDefault="00E93918" w:rsidP="0001695A">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本报告期比上年同期增减</w:t>
            </w:r>
          </w:p>
        </w:tc>
        <w:tc>
          <w:tcPr>
            <w:tcW w:w="2746" w:type="dxa"/>
            <w:vAlign w:val="center"/>
          </w:tcPr>
          <w:p w:rsidR="00000000" w:rsidRDefault="00E93918" w:rsidP="0001695A">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变动原因</w:t>
            </w:r>
          </w:p>
        </w:tc>
      </w:tr>
      <w:tr w:rsidR="00000000" w:rsidTr="0001695A">
        <w:trPr>
          <w:jc w:val="center"/>
        </w:trPr>
        <w:tc>
          <w:tcPr>
            <w:tcW w:w="2894" w:type="dxa"/>
          </w:tcPr>
          <w:p w:rsidR="00000000" w:rsidRDefault="00E93918">
            <w:pPr>
              <w:autoSpaceDE w:val="0"/>
              <w:autoSpaceDN w:val="0"/>
              <w:adjustRightInd w:val="0"/>
              <w:spacing w:before="0" w:after="0"/>
              <w:jc w:val="left"/>
              <w:rPr>
                <w:rFonts w:eastAsia="Times New Roman"/>
                <w:kern w:val="0"/>
                <w:lang w:val="zh-CN"/>
              </w:rPr>
            </w:pPr>
            <w:r>
              <w:rPr>
                <w:rFonts w:ascii="宋体" w:hAnsi="宋体" w:cs="宋体" w:hint="eastAsia"/>
                <w:kern w:val="0"/>
                <w:lang w:val="zh-CN"/>
              </w:rPr>
              <w:t>归属于上市公司股东的扣除非经常性损益的净利润（元）</w:t>
            </w:r>
          </w:p>
        </w:tc>
        <w:tc>
          <w:tcPr>
            <w:tcW w:w="1560" w:type="dxa"/>
            <w:vAlign w:val="center"/>
          </w:tcPr>
          <w:p w:rsidR="00000000" w:rsidRDefault="0001695A" w:rsidP="0001695A">
            <w:pPr>
              <w:autoSpaceDE w:val="0"/>
              <w:autoSpaceDN w:val="0"/>
              <w:adjustRightInd w:val="0"/>
              <w:spacing w:before="0" w:after="0"/>
              <w:jc w:val="right"/>
              <w:rPr>
                <w:rFonts w:eastAsia="Times New Roman"/>
                <w:kern w:val="0"/>
                <w:lang w:val="zh-CN"/>
              </w:rPr>
            </w:pPr>
            <w:r>
              <w:rPr>
                <w:rFonts w:eastAsia="Times New Roman"/>
                <w:kern w:val="0"/>
                <w:lang w:val="zh-CN"/>
              </w:rPr>
              <w:t xml:space="preserve">     </w:t>
            </w:r>
            <w:r w:rsidR="00E93918">
              <w:rPr>
                <w:rFonts w:eastAsia="Times New Roman"/>
                <w:kern w:val="0"/>
                <w:lang w:val="zh-CN"/>
              </w:rPr>
              <w:t xml:space="preserve">132,151,829.13 </w:t>
            </w:r>
          </w:p>
        </w:tc>
        <w:tc>
          <w:tcPr>
            <w:tcW w:w="1500" w:type="dxa"/>
            <w:vAlign w:val="center"/>
          </w:tcPr>
          <w:p w:rsidR="00000000" w:rsidRDefault="0001695A" w:rsidP="0001695A">
            <w:pPr>
              <w:autoSpaceDE w:val="0"/>
              <w:autoSpaceDN w:val="0"/>
              <w:adjustRightInd w:val="0"/>
              <w:spacing w:before="0" w:after="0"/>
              <w:jc w:val="right"/>
              <w:rPr>
                <w:rFonts w:eastAsia="Times New Roman"/>
                <w:kern w:val="0"/>
                <w:lang w:val="zh-CN"/>
              </w:rPr>
            </w:pPr>
            <w:r>
              <w:rPr>
                <w:rFonts w:eastAsia="Times New Roman"/>
                <w:kern w:val="0"/>
                <w:lang w:val="zh-CN"/>
              </w:rPr>
              <w:t xml:space="preserve">     </w:t>
            </w:r>
            <w:r w:rsidR="00E93918">
              <w:rPr>
                <w:rFonts w:eastAsia="Times New Roman"/>
                <w:kern w:val="0"/>
                <w:lang w:val="zh-CN"/>
              </w:rPr>
              <w:t xml:space="preserve">58,360,163.57 </w:t>
            </w:r>
          </w:p>
        </w:tc>
        <w:tc>
          <w:tcPr>
            <w:tcW w:w="1366" w:type="dxa"/>
            <w:vAlign w:val="center"/>
          </w:tcPr>
          <w:p w:rsidR="00000000" w:rsidRDefault="00E93918" w:rsidP="0001695A">
            <w:pPr>
              <w:autoSpaceDE w:val="0"/>
              <w:autoSpaceDN w:val="0"/>
              <w:adjustRightInd w:val="0"/>
              <w:spacing w:before="0" w:after="0"/>
              <w:jc w:val="right"/>
              <w:rPr>
                <w:rFonts w:eastAsia="Times New Roman"/>
                <w:kern w:val="0"/>
                <w:lang w:val="zh-CN"/>
              </w:rPr>
            </w:pPr>
            <w:r>
              <w:rPr>
                <w:rFonts w:eastAsia="Times New Roman"/>
                <w:kern w:val="0"/>
                <w:lang w:val="zh-CN"/>
              </w:rPr>
              <w:t>126.44%</w:t>
            </w:r>
          </w:p>
        </w:tc>
        <w:tc>
          <w:tcPr>
            <w:tcW w:w="2746" w:type="dxa"/>
            <w:vAlign w:val="center"/>
          </w:tcPr>
          <w:p w:rsidR="00000000" w:rsidRDefault="00E93918" w:rsidP="0001695A">
            <w:pPr>
              <w:autoSpaceDE w:val="0"/>
              <w:autoSpaceDN w:val="0"/>
              <w:adjustRightInd w:val="0"/>
              <w:spacing w:before="0" w:after="0"/>
              <w:jc w:val="center"/>
              <w:rPr>
                <w:rFonts w:eastAsia="Times New Roman"/>
                <w:kern w:val="0"/>
                <w:lang w:val="zh-CN"/>
              </w:rPr>
            </w:pPr>
            <w:r>
              <w:rPr>
                <w:rFonts w:ascii="宋体" w:hAnsi="宋体" w:cs="宋体" w:hint="eastAsia"/>
                <w:kern w:val="0"/>
                <w:lang w:val="zh-CN"/>
              </w:rPr>
              <w:t>主要系非经常性损益减少所致</w:t>
            </w:r>
          </w:p>
        </w:tc>
      </w:tr>
    </w:tbl>
    <w:p w:rsidR="00000000" w:rsidRDefault="00E93918">
      <w:pPr>
        <w:autoSpaceDE w:val="0"/>
        <w:autoSpaceDN w:val="0"/>
        <w:adjustRightInd w:val="0"/>
        <w:spacing w:before="0" w:after="0"/>
        <w:jc w:val="left"/>
        <w:rPr>
          <w:rFonts w:eastAsia="Times New Roman"/>
          <w:kern w:val="0"/>
          <w:lang w:val="zh-CN"/>
        </w:rPr>
      </w:pPr>
    </w:p>
    <w:p w:rsidR="00000000" w:rsidRDefault="00E93918">
      <w:pPr>
        <w:pStyle w:val="Chapter"/>
        <w:outlineLvl w:val="1"/>
        <w:rPr>
          <w:bCs w:val="0"/>
        </w:rPr>
      </w:pPr>
      <w:r>
        <w:rPr>
          <w:bCs w:val="0"/>
        </w:rPr>
        <w:t>二、股东信息</w:t>
      </w:r>
    </w:p>
    <w:p w:rsidR="00000000" w:rsidRDefault="00E93918">
      <w:pPr>
        <w:pStyle w:val="Section"/>
        <w:outlineLvl w:val="2"/>
        <w:rPr>
          <w:bCs w:val="0"/>
          <w:szCs w:val="24"/>
        </w:rPr>
      </w:pPr>
      <w:r>
        <w:rPr>
          <w:bCs w:val="0"/>
          <w:szCs w:val="24"/>
        </w:rPr>
        <w:t>(</w:t>
      </w:r>
      <w:r>
        <w:rPr>
          <w:bCs w:val="0"/>
          <w:szCs w:val="24"/>
        </w:rPr>
        <w:t>一</w:t>
      </w:r>
      <w:r>
        <w:rPr>
          <w:bCs w:val="0"/>
          <w:szCs w:val="24"/>
        </w:rPr>
        <w:t>)</w:t>
      </w:r>
      <w:r>
        <w:rPr>
          <w:bCs w:val="0"/>
          <w:szCs w:val="24"/>
        </w:rPr>
        <w:t>普通股股东总数和表决权恢复的优先股股东数量及前十名股东持股情况表</w:t>
      </w:r>
    </w:p>
    <w:p w:rsidR="00000000" w:rsidRDefault="00E93918">
      <w:pPr>
        <w:jc w:val="right"/>
        <w:rPr>
          <w:szCs w:val="24"/>
        </w:rPr>
      </w:pPr>
      <w:r>
        <w:rPr>
          <w:szCs w:val="24"/>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2552"/>
        <w:gridCol w:w="180"/>
        <w:gridCol w:w="103"/>
        <w:gridCol w:w="1134"/>
        <w:gridCol w:w="993"/>
        <w:gridCol w:w="49"/>
        <w:gridCol w:w="1226"/>
        <w:gridCol w:w="598"/>
        <w:gridCol w:w="456"/>
        <w:gridCol w:w="364"/>
        <w:gridCol w:w="547"/>
        <w:gridCol w:w="445"/>
        <w:gridCol w:w="923"/>
      </w:tblGrid>
      <w:tr w:rsidR="00000000">
        <w:tblPrEx>
          <w:tblCellMar>
            <w:top w:w="0" w:type="dxa"/>
            <w:bottom w:w="0" w:type="dxa"/>
          </w:tblCellMar>
        </w:tblPrEx>
        <w:tc>
          <w:tcPr>
            <w:tcW w:w="273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报告期末普通股股东总数</w:t>
            </w:r>
          </w:p>
        </w:tc>
        <w:tc>
          <w:tcPr>
            <w:tcW w:w="22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22,207</w:t>
            </w:r>
          </w:p>
        </w:tc>
        <w:tc>
          <w:tcPr>
            <w:tcW w:w="228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报告期末表决权恢复的优先股股东总数（如有）</w:t>
            </w:r>
          </w:p>
        </w:tc>
        <w:tc>
          <w:tcPr>
            <w:tcW w:w="22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0</w:t>
            </w:r>
          </w:p>
        </w:tc>
      </w:tr>
      <w:tr w:rsidR="00000000">
        <w:tblPrEx>
          <w:tblCellMar>
            <w:top w:w="0" w:type="dxa"/>
            <w:bottom w:w="0" w:type="dxa"/>
          </w:tblCellMar>
        </w:tblPrEx>
        <w:tc>
          <w:tcPr>
            <w:tcW w:w="9570"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前</w:t>
            </w:r>
            <w:r>
              <w:rPr>
                <w:szCs w:val="24"/>
              </w:rPr>
              <w:t>10</w:t>
            </w:r>
            <w:r>
              <w:rPr>
                <w:szCs w:val="24"/>
              </w:rPr>
              <w:t>名股东持股情况</w:t>
            </w:r>
          </w:p>
        </w:tc>
      </w:tr>
      <w:tr w:rsidR="00000000" w:rsidTr="0001695A">
        <w:tblPrEx>
          <w:tblCellMar>
            <w:top w:w="0" w:type="dxa"/>
            <w:bottom w:w="0" w:type="dxa"/>
          </w:tblCellMar>
        </w:tblPrEx>
        <w:tc>
          <w:tcPr>
            <w:tcW w:w="255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股东名称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股东性质</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持股比例</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持股数</w:t>
            </w:r>
            <w:r>
              <w:rPr>
                <w:szCs w:val="24"/>
              </w:rPr>
              <w:t>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持有有限售条件的股份数量</w:t>
            </w:r>
          </w:p>
        </w:tc>
        <w:tc>
          <w:tcPr>
            <w:tcW w:w="191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质押、标记或冻结情况</w:t>
            </w:r>
          </w:p>
        </w:tc>
      </w:tr>
      <w:tr w:rsidR="00000000" w:rsidTr="0001695A">
        <w:tblPrEx>
          <w:tblCellMar>
            <w:top w:w="0" w:type="dxa"/>
            <w:bottom w:w="0" w:type="dxa"/>
          </w:tblCellMar>
        </w:tblPrEx>
        <w:tc>
          <w:tcPr>
            <w:tcW w:w="2552" w:type="dxa"/>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股份状态</w:t>
            </w:r>
          </w:p>
        </w:tc>
        <w:tc>
          <w:tcPr>
            <w:tcW w:w="923"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数量</w:t>
            </w: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华孚控股有限公司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境内非国有法人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30.62%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520,705,950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安徽飞亚纺织有限公司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境内非国有法人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7.59%</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129,058,312</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深圳市华人投资有限公司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境内非国有法人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3.70%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62,923,500</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金鹰基金－工商银行－万向信托－万向信托－星辰</w:t>
            </w:r>
            <w:r>
              <w:rPr>
                <w:szCs w:val="24"/>
              </w:rPr>
              <w:t>39</w:t>
            </w:r>
            <w:r>
              <w:rPr>
                <w:szCs w:val="24"/>
              </w:rPr>
              <w:t>号事务管理类单一资金信托</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3.49%</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59,429,476</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金元顺安基金－兴业银行－上海爱建信托－爱建信托欣欣</w:t>
            </w:r>
            <w:r>
              <w:rPr>
                <w:szCs w:val="24"/>
              </w:rPr>
              <w:t>7</w:t>
            </w:r>
            <w:r>
              <w:rPr>
                <w:szCs w:val="24"/>
              </w:rPr>
              <w:t>号定</w:t>
            </w:r>
            <w:r>
              <w:rPr>
                <w:szCs w:val="24"/>
              </w:rPr>
              <w:t>向增发事务管理类单一资金信托</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3.14%</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53,478,704</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广西沣盛供应链管理有限公司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境内非国有法人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2.66%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45,283,102</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质押</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45,166,402</w:t>
            </w: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国泰君安证券股份有限公司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1.88%</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32,023,886</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30,769,230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香港中央结算有限公司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境外法人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1.55%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26,317,949</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安徽省农业产业化发展基金有限公司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1.41%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24,038,461</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24,038,461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rsidTr="0001695A">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中信建投证券股份有限公司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国有法人</w:t>
            </w:r>
          </w:p>
        </w:tc>
        <w:tc>
          <w:tcPr>
            <w:tcW w:w="993" w:type="dxa"/>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w:t>
            </w:r>
            <w:r>
              <w:rPr>
                <w:szCs w:val="24"/>
              </w:rPr>
              <w:t>26%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21,408,946</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21,153,846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9570"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前</w:t>
            </w:r>
            <w:r>
              <w:rPr>
                <w:szCs w:val="24"/>
              </w:rPr>
              <w:t>10</w:t>
            </w:r>
            <w:r>
              <w:rPr>
                <w:szCs w:val="24"/>
              </w:rPr>
              <w:t>名无限售条件股东持股情况</w:t>
            </w:r>
          </w:p>
        </w:tc>
      </w:tr>
      <w:tr w:rsidR="00000000" w:rsidTr="0001695A">
        <w:tblPrEx>
          <w:tblCellMar>
            <w:top w:w="0" w:type="dxa"/>
            <w:bottom w:w="0" w:type="dxa"/>
          </w:tblCellMar>
        </w:tblPrEx>
        <w:tc>
          <w:tcPr>
            <w:tcW w:w="4962" w:type="dxa"/>
            <w:gridSpan w:val="5"/>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股东名称</w:t>
            </w:r>
          </w:p>
        </w:tc>
        <w:tc>
          <w:tcPr>
            <w:tcW w:w="1873"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持有无限售条件股份数量</w:t>
            </w:r>
          </w:p>
        </w:tc>
        <w:tc>
          <w:tcPr>
            <w:tcW w:w="2735"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股份种类</w:t>
            </w:r>
          </w:p>
        </w:tc>
      </w:tr>
      <w:tr w:rsidR="00000000" w:rsidTr="0001695A">
        <w:tblPrEx>
          <w:tblCellMar>
            <w:top w:w="0" w:type="dxa"/>
            <w:bottom w:w="0" w:type="dxa"/>
          </w:tblCellMar>
        </w:tblPrEx>
        <w:tc>
          <w:tcPr>
            <w:tcW w:w="4962"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1873" w:type="dxa"/>
            <w:gridSpan w:val="3"/>
            <w:vMerge/>
            <w:tcBorders>
              <w:top w:val="single" w:sz="4" w:space="0" w:color="auto"/>
              <w:left w:val="single" w:sz="4" w:space="0" w:color="auto"/>
              <w:bottom w:val="single" w:sz="4" w:space="0" w:color="auto"/>
              <w:right w:val="single" w:sz="4" w:space="0" w:color="auto"/>
            </w:tcBorders>
            <w:vAlign w:val="center"/>
          </w:tcPr>
          <w:p w:rsidR="00000000" w:rsidRDefault="00E93918">
            <w:pPr>
              <w:jc w:val="center"/>
              <w:rPr>
                <w:szCs w:val="24"/>
              </w:rPr>
            </w:pPr>
          </w:p>
        </w:tc>
        <w:tc>
          <w:tcPr>
            <w:tcW w:w="1367"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股份种类</w:t>
            </w:r>
          </w:p>
        </w:tc>
        <w:tc>
          <w:tcPr>
            <w:tcW w:w="13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数量</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华孚控股有限公司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520,705,950</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520,705,950</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安徽飞亚纺织有限公司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129,058,312</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129,058,312</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深圳市华人投资有限公司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62,923,500</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62,923,500</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金鹰基金－工商银行－万向信托－万向信托－星辰</w:t>
            </w:r>
            <w:r>
              <w:rPr>
                <w:szCs w:val="24"/>
              </w:rPr>
              <w:t>39</w:t>
            </w:r>
            <w:r>
              <w:rPr>
                <w:szCs w:val="24"/>
              </w:rPr>
              <w:t>号事务管理类单一资金信托</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59,429,476</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w:t>
            </w:r>
            <w:r>
              <w:rPr>
                <w:szCs w:val="24"/>
              </w:rPr>
              <w:t>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59,429,476</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金元顺安基金－兴业银行－上海爱建信托－爱建信托欣欣</w:t>
            </w:r>
            <w:r>
              <w:rPr>
                <w:szCs w:val="24"/>
              </w:rPr>
              <w:t>7</w:t>
            </w:r>
            <w:r>
              <w:rPr>
                <w:szCs w:val="24"/>
              </w:rPr>
              <w:t>号定向增发事务管理类单一资金信托</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53,478,704</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53,478,704</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广西沣盛供应链管理有限公司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45,283,102</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45,283,102</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香港中央结算有限公司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26,317,949</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26,317,949</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王芳</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20,245,400</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20,245,400</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上海景熙资产管理有限公司－景熙－长阳</w:t>
            </w:r>
            <w:r>
              <w:rPr>
                <w:szCs w:val="24"/>
              </w:rPr>
              <w:t>9</w:t>
            </w:r>
            <w:r>
              <w:rPr>
                <w:szCs w:val="24"/>
              </w:rPr>
              <w:t>号私募证券投资基金</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18,603,386</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w:t>
            </w:r>
            <w:r>
              <w:rPr>
                <w:szCs w:val="24"/>
              </w:rPr>
              <w:t>8,603,386</w:t>
            </w:r>
          </w:p>
        </w:tc>
      </w:tr>
      <w:tr w:rsidR="00000000" w:rsidTr="0001695A">
        <w:tblPrEx>
          <w:tblCellMar>
            <w:top w:w="0" w:type="dxa"/>
            <w:bottom w:w="0" w:type="dxa"/>
          </w:tblCellMar>
        </w:tblPrEx>
        <w:tc>
          <w:tcPr>
            <w:tcW w:w="4962" w:type="dxa"/>
            <w:gridSpan w:val="5"/>
            <w:tcBorders>
              <w:top w:val="single" w:sz="4" w:space="0" w:color="auto"/>
              <w:left w:val="single" w:sz="4" w:space="0" w:color="auto"/>
              <w:bottom w:val="single" w:sz="4" w:space="0" w:color="auto"/>
              <w:right w:val="single" w:sz="4" w:space="0" w:color="auto"/>
            </w:tcBorders>
            <w:vAlign w:val="center"/>
          </w:tcPr>
          <w:p w:rsidR="00000000" w:rsidRDefault="00E93918">
            <w:pPr>
              <w:jc w:val="left"/>
              <w:rPr>
                <w:szCs w:val="24"/>
              </w:rPr>
            </w:pPr>
            <w:r>
              <w:rPr>
                <w:szCs w:val="24"/>
              </w:rPr>
              <w:t>浙江浙商产融投资发展有限公司</w:t>
            </w:r>
          </w:p>
        </w:tc>
        <w:tc>
          <w:tcPr>
            <w:tcW w:w="1873" w:type="dxa"/>
            <w:gridSpan w:val="3"/>
            <w:tcBorders>
              <w:top w:val="single" w:sz="4" w:space="0" w:color="auto"/>
              <w:left w:val="single" w:sz="4" w:space="0" w:color="auto"/>
              <w:bottom w:val="single" w:sz="4" w:space="0" w:color="auto"/>
              <w:right w:val="single" w:sz="4" w:space="0" w:color="auto"/>
            </w:tcBorders>
            <w:vAlign w:val="center"/>
          </w:tcPr>
          <w:p w:rsidR="00000000" w:rsidRDefault="00E93918">
            <w:pPr>
              <w:jc w:val="right"/>
              <w:rPr>
                <w:szCs w:val="24"/>
              </w:rPr>
            </w:pPr>
            <w:r>
              <w:rPr>
                <w:szCs w:val="24"/>
              </w:rPr>
              <w:t>16,014,900</w:t>
            </w:r>
          </w:p>
        </w:tc>
        <w:tc>
          <w:tcPr>
            <w:tcW w:w="13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rsidP="0001695A">
            <w:pPr>
              <w:jc w:val="center"/>
              <w:rPr>
                <w:szCs w:val="24"/>
              </w:rPr>
            </w:pPr>
            <w:r>
              <w:rPr>
                <w:szCs w:val="24"/>
              </w:rPr>
              <w:t>人民币普通股</w:t>
            </w:r>
          </w:p>
        </w:tc>
        <w:tc>
          <w:tcPr>
            <w:tcW w:w="13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16,014,900</w:t>
            </w:r>
          </w:p>
        </w:tc>
      </w:tr>
      <w:tr w:rsidR="00000000" w:rsidTr="0001695A">
        <w:tblPrEx>
          <w:tblCellMar>
            <w:top w:w="0" w:type="dxa"/>
            <w:bottom w:w="0" w:type="dxa"/>
          </w:tblCellMar>
        </w:tblPrEx>
        <w:tc>
          <w:tcPr>
            <w:tcW w:w="283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上述股东关联关系或一致行动的说明</w:t>
            </w:r>
          </w:p>
        </w:tc>
        <w:tc>
          <w:tcPr>
            <w:tcW w:w="673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rPr>
                <w:szCs w:val="24"/>
              </w:rPr>
            </w:pPr>
            <w:r>
              <w:rPr>
                <w:szCs w:val="24"/>
              </w:rPr>
              <w:t>前</w:t>
            </w:r>
            <w:r>
              <w:rPr>
                <w:szCs w:val="24"/>
              </w:rPr>
              <w:t>10</w:t>
            </w:r>
            <w:r>
              <w:rPr>
                <w:szCs w:val="24"/>
              </w:rPr>
              <w:t>名无限售流通股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p>
        </w:tc>
      </w:tr>
      <w:tr w:rsidR="00000000" w:rsidTr="0001695A">
        <w:tblPrEx>
          <w:tblCellMar>
            <w:top w:w="0" w:type="dxa"/>
            <w:bottom w:w="0" w:type="dxa"/>
          </w:tblCellMar>
        </w:tblPrEx>
        <w:tc>
          <w:tcPr>
            <w:tcW w:w="283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前</w:t>
            </w:r>
            <w:r>
              <w:rPr>
                <w:szCs w:val="24"/>
              </w:rPr>
              <w:t>10</w:t>
            </w:r>
            <w:r>
              <w:rPr>
                <w:szCs w:val="24"/>
              </w:rPr>
              <w:t>名股东参与融资融券业务情况说明（如有）</w:t>
            </w:r>
          </w:p>
        </w:tc>
        <w:tc>
          <w:tcPr>
            <w:tcW w:w="673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left"/>
              <w:rPr>
                <w:szCs w:val="24"/>
              </w:rPr>
            </w:pPr>
            <w:r>
              <w:rPr>
                <w:szCs w:val="24"/>
              </w:rPr>
              <w:t>安徽飞亚纺织有限公司及深圳市华人投资有限公司通过信用账户持有公司部分股份。</w:t>
            </w:r>
          </w:p>
        </w:tc>
      </w:tr>
    </w:tbl>
    <w:p w:rsidR="00000000" w:rsidRDefault="00E93918">
      <w:pPr>
        <w:pStyle w:val="Section"/>
        <w:outlineLvl w:val="2"/>
        <w:rPr>
          <w:bCs w:val="0"/>
          <w:szCs w:val="24"/>
        </w:rPr>
      </w:pPr>
      <w:r>
        <w:rPr>
          <w:bCs w:val="0"/>
          <w:szCs w:val="24"/>
        </w:rPr>
        <w:t>(</w:t>
      </w:r>
      <w:r>
        <w:rPr>
          <w:bCs w:val="0"/>
          <w:szCs w:val="24"/>
        </w:rPr>
        <w:t>二</w:t>
      </w:r>
      <w:r>
        <w:rPr>
          <w:bCs w:val="0"/>
          <w:szCs w:val="24"/>
        </w:rPr>
        <w:t>)</w:t>
      </w:r>
      <w:r>
        <w:rPr>
          <w:bCs w:val="0"/>
          <w:szCs w:val="24"/>
        </w:rPr>
        <w:t>公司优先股股东总数及前</w:t>
      </w:r>
      <w:r>
        <w:rPr>
          <w:bCs w:val="0"/>
          <w:szCs w:val="24"/>
        </w:rPr>
        <w:t>10</w:t>
      </w:r>
      <w:r>
        <w:rPr>
          <w:bCs w:val="0"/>
          <w:szCs w:val="24"/>
        </w:rPr>
        <w:t>名优先股股东持股情况表</w:t>
      </w:r>
    </w:p>
    <w:p w:rsidR="00000000" w:rsidRDefault="00E93918">
      <w:pPr>
        <w:jc w:val="left"/>
        <w:rPr>
          <w:szCs w:val="24"/>
        </w:rPr>
      </w:pPr>
      <w:r>
        <w:rPr>
          <w:szCs w:val="24"/>
        </w:rPr>
        <w:t xml:space="preserve">□ </w:t>
      </w:r>
      <w:r>
        <w:rPr>
          <w:szCs w:val="24"/>
        </w:rPr>
        <w:t>适用</w:t>
      </w:r>
      <w:r>
        <w:rPr>
          <w:szCs w:val="24"/>
        </w:rPr>
        <w:t xml:space="preserve"> √ </w:t>
      </w:r>
      <w:r>
        <w:rPr>
          <w:szCs w:val="24"/>
        </w:rPr>
        <w:t>不适用</w:t>
      </w:r>
      <w:r>
        <w:rPr>
          <w:szCs w:val="24"/>
        </w:rPr>
        <w:t xml:space="preserve"> </w:t>
      </w:r>
    </w:p>
    <w:p w:rsidR="00000000" w:rsidRDefault="00E93918">
      <w:pPr>
        <w:pStyle w:val="Chapter"/>
        <w:outlineLvl w:val="1"/>
        <w:rPr>
          <w:bCs w:val="0"/>
        </w:rPr>
      </w:pPr>
      <w:r>
        <w:rPr>
          <w:bCs w:val="0"/>
        </w:rPr>
        <w:t>三、其他重要事项</w:t>
      </w:r>
    </w:p>
    <w:p w:rsidR="00000000" w:rsidRDefault="00E93918">
      <w:pPr>
        <w:jc w:val="left"/>
        <w:rPr>
          <w:szCs w:val="24"/>
        </w:rPr>
      </w:pPr>
      <w:r>
        <w:rPr>
          <w:szCs w:val="24"/>
        </w:rPr>
        <w:t xml:space="preserve">□ </w:t>
      </w:r>
      <w:r>
        <w:rPr>
          <w:szCs w:val="24"/>
        </w:rPr>
        <w:t>适用</w:t>
      </w:r>
      <w:r>
        <w:rPr>
          <w:szCs w:val="24"/>
        </w:rPr>
        <w:t xml:space="preserve"> √ </w:t>
      </w:r>
      <w:r>
        <w:rPr>
          <w:szCs w:val="24"/>
        </w:rPr>
        <w:t>不适用</w:t>
      </w:r>
      <w:r>
        <w:rPr>
          <w:szCs w:val="24"/>
        </w:rPr>
        <w:t xml:space="preserve"> </w:t>
      </w:r>
    </w:p>
    <w:p w:rsidR="00000000" w:rsidRDefault="00E93918">
      <w:pPr>
        <w:pStyle w:val="Chapter"/>
        <w:outlineLvl w:val="1"/>
        <w:rPr>
          <w:bCs w:val="0"/>
        </w:rPr>
      </w:pPr>
      <w:r>
        <w:rPr>
          <w:bCs w:val="0"/>
        </w:rPr>
        <w:t>四、季度财务报表</w:t>
      </w:r>
    </w:p>
    <w:p w:rsidR="00000000" w:rsidRDefault="00E93918">
      <w:pPr>
        <w:pStyle w:val="Section"/>
        <w:outlineLvl w:val="2"/>
        <w:rPr>
          <w:bCs w:val="0"/>
          <w:szCs w:val="24"/>
        </w:rPr>
      </w:pPr>
      <w:r>
        <w:rPr>
          <w:bCs w:val="0"/>
          <w:szCs w:val="24"/>
        </w:rPr>
        <w:t>(</w:t>
      </w:r>
      <w:r>
        <w:rPr>
          <w:bCs w:val="0"/>
          <w:szCs w:val="24"/>
        </w:rPr>
        <w:t>一</w:t>
      </w:r>
      <w:r>
        <w:rPr>
          <w:bCs w:val="0"/>
          <w:szCs w:val="24"/>
        </w:rPr>
        <w:t>)</w:t>
      </w:r>
      <w:r>
        <w:rPr>
          <w:bCs w:val="0"/>
          <w:szCs w:val="24"/>
        </w:rPr>
        <w:t>财务报表</w:t>
      </w:r>
    </w:p>
    <w:p w:rsidR="00000000" w:rsidRDefault="00E93918">
      <w:pPr>
        <w:pStyle w:val="Section"/>
        <w:outlineLvl w:val="3"/>
        <w:rPr>
          <w:bCs w:val="0"/>
          <w:szCs w:val="24"/>
        </w:rPr>
      </w:pPr>
      <w:r>
        <w:rPr>
          <w:bCs w:val="0"/>
          <w:szCs w:val="24"/>
        </w:rPr>
        <w:t>1</w:t>
      </w:r>
      <w:r>
        <w:rPr>
          <w:bCs w:val="0"/>
          <w:szCs w:val="24"/>
        </w:rPr>
        <w:t>、合并资产负债表</w:t>
      </w:r>
    </w:p>
    <w:p w:rsidR="00000000" w:rsidRDefault="00E93918">
      <w:pPr>
        <w:jc w:val="left"/>
        <w:rPr>
          <w:szCs w:val="24"/>
        </w:rPr>
      </w:pPr>
      <w:r>
        <w:rPr>
          <w:szCs w:val="24"/>
        </w:rPr>
        <w:t>编制单位：华孚时尚股份有限公司</w:t>
      </w:r>
    </w:p>
    <w:p w:rsidR="00000000" w:rsidRDefault="00E93918">
      <w:pPr>
        <w:jc w:val="center"/>
        <w:rPr>
          <w:szCs w:val="24"/>
        </w:rPr>
      </w:pPr>
      <w:r>
        <w:rPr>
          <w:szCs w:val="24"/>
        </w:rPr>
        <w:t>2022</w:t>
      </w:r>
      <w:r>
        <w:rPr>
          <w:szCs w:val="24"/>
        </w:rPr>
        <w:t>年</w:t>
      </w:r>
      <w:r>
        <w:rPr>
          <w:szCs w:val="24"/>
        </w:rPr>
        <w:t>03</w:t>
      </w:r>
      <w:r>
        <w:rPr>
          <w:szCs w:val="24"/>
        </w:rPr>
        <w:t>月</w:t>
      </w:r>
      <w:r>
        <w:rPr>
          <w:szCs w:val="24"/>
        </w:rPr>
        <w:t>31</w:t>
      </w:r>
      <w:r>
        <w:rPr>
          <w:szCs w:val="24"/>
        </w:rPr>
        <w:t>日</w:t>
      </w:r>
    </w:p>
    <w:p w:rsidR="00000000" w:rsidRDefault="00E93918">
      <w:pPr>
        <w:jc w:val="right"/>
        <w:rPr>
          <w:szCs w:val="24"/>
        </w:rPr>
      </w:pPr>
      <w:r>
        <w:rPr>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期末余额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年初余额</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3,521,848,730.05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3,370,692,417.48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337,625,234.54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616,725,654.58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45,754,810.98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76,426,665.25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1,303,539,892.68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921,916,655.19</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874,761,500.95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606,832,949.18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327,767,372.19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404,732,427.46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6,9</w:t>
            </w:r>
            <w:r>
              <w:rPr>
                <w:szCs w:val="24"/>
              </w:rPr>
              <w:t>65,791,529.79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6,560,654,772.15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1,426,696.10</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207,344,130.47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283,862,836.17</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13,584,433,201.65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12,843,271,073.56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发放贷款和垫款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10,881,189.84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3,877,625.34</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341,802,711.59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303,919,973.14</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76,105,657.81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77,564,736.48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94,376,734.21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96,853,670.97</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4,963,261,223.83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4,995,104,339.76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351,833,920.01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428,513,202.25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28,330,125.48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30,467</w:t>
            </w:r>
            <w:r>
              <w:rPr>
                <w:szCs w:val="24"/>
              </w:rPr>
              <w:t>,189.65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837,305,582.39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939,007,447.73</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157,486,295.49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157,486,295.49</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43,220,157.99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42,930,164.11</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130,689,333.31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139,061,967.53</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58,381,168.89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80,128,182.87</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7,093,674,100.84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7,294,914,795.32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资产</w:t>
            </w:r>
            <w:r>
              <w:rPr>
                <w:szCs w:val="24"/>
              </w:rPr>
              <w:t>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20,678,107,302.49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20,138,185,868.88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8,369,598,293.78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8,429,262,730.05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212,223,311.66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206,404,734.39</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1,421,590,112.25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828,339,134.62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28,731,357.90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6,505,048.15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合同</w:t>
            </w:r>
            <w:r>
              <w:rPr>
                <w:szCs w:val="24"/>
              </w:rPr>
              <w:t>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1,369,604,801.98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1,143,739,643.08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78,926,293.91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89,111,887.02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80,480,058.98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178,434,429.26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264,003,469.19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264,569,603.41</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应付分保</w:t>
            </w:r>
            <w:r>
              <w:rPr>
                <w:szCs w:val="24"/>
              </w:rPr>
              <w:t>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135,620,573.05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253,724,017.38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120,362,685.90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180,946,990.38</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12,081,140,958.60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11,581,038,217.74</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789,093,091.25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882,631,818.00</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25,52</w:t>
            </w:r>
            <w:r>
              <w:rPr>
                <w:szCs w:val="24"/>
              </w:rPr>
              <w:t>3,943.82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23,381,798.95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29,706,084.43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4,367,138.45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3,022,975.74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3,100,838.22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85,558,096.42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86,189,995.45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17,562,033.71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29,106,931.25</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950,466,225.37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1,028,778,520.32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13,031,607,183</w:t>
            </w:r>
            <w:r>
              <w:rPr>
                <w:szCs w:val="24"/>
              </w:rPr>
              <w:t>.97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12,609,816,738.06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1,700,681,355.00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1,700,681,355.00</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2,771,248,631.27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2,771,248,631.27</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-64,550,397.33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-52,730,766.82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255,624,670.66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255,624,670.66</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一般</w:t>
            </w:r>
            <w:r>
              <w:rPr>
                <w:szCs w:val="24"/>
              </w:rPr>
              <w:t>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2,456,766,435.64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2,334,373,314.01</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7,119,770,695.24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7,009,197,204.12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526,729,423.28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519,171,926.70</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7,646,500,118.52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7,528,369,130.82</w:t>
            </w:r>
          </w:p>
        </w:tc>
      </w:tr>
      <w:tr w:rsidR="00000000">
        <w:tblPrEx>
          <w:tblCellMar>
            <w:top w:w="0" w:type="dxa"/>
            <w:bottom w:w="0" w:type="dxa"/>
          </w:tblCellMar>
        </w:tblPrEx>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20,678,107,302.49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20,138,185,868.88</w:t>
            </w:r>
          </w:p>
        </w:tc>
      </w:tr>
    </w:tbl>
    <w:p w:rsidR="00000000" w:rsidRDefault="00E93918">
      <w:pPr>
        <w:spacing w:before="300"/>
        <w:rPr>
          <w:szCs w:val="24"/>
        </w:rPr>
      </w:pPr>
      <w:r>
        <w:rPr>
          <w:szCs w:val="24"/>
        </w:rPr>
        <w:t>法定代表人：孙伟挺</w:t>
      </w:r>
      <w:r>
        <w:rPr>
          <w:szCs w:val="24"/>
        </w:rPr>
        <w:t xml:space="preserve">                </w:t>
      </w:r>
      <w:r>
        <w:rPr>
          <w:szCs w:val="24"/>
        </w:rPr>
        <w:t xml:space="preserve">    </w:t>
      </w:r>
      <w:r>
        <w:rPr>
          <w:szCs w:val="24"/>
        </w:rPr>
        <w:t>主管会计工作负责人：陈玲芬</w:t>
      </w:r>
      <w:r>
        <w:rPr>
          <w:szCs w:val="24"/>
        </w:rPr>
        <w:t xml:space="preserve">                    </w:t>
      </w:r>
      <w:r>
        <w:rPr>
          <w:szCs w:val="24"/>
        </w:rPr>
        <w:t>会计机构负责人：王国友</w:t>
      </w:r>
    </w:p>
    <w:p w:rsidR="00000000" w:rsidRDefault="00E93918">
      <w:pPr>
        <w:pStyle w:val="Section"/>
        <w:outlineLvl w:val="3"/>
        <w:rPr>
          <w:bCs w:val="0"/>
          <w:szCs w:val="24"/>
        </w:rPr>
      </w:pPr>
      <w:r>
        <w:rPr>
          <w:bCs w:val="0"/>
          <w:szCs w:val="24"/>
        </w:rPr>
        <w:t>2</w:t>
      </w:r>
      <w:r>
        <w:rPr>
          <w:bCs w:val="0"/>
          <w:szCs w:val="24"/>
        </w:rPr>
        <w:t>、合并利润表</w:t>
      </w:r>
    </w:p>
    <w:p w:rsidR="00000000" w:rsidRDefault="00E93918">
      <w:pPr>
        <w:jc w:val="right"/>
        <w:rPr>
          <w:szCs w:val="24"/>
        </w:rPr>
      </w:pPr>
      <w:r>
        <w:rPr>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3080"/>
        <w:gridCol w:w="3210"/>
        <w:gridCol w:w="3277"/>
      </w:tblGrid>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项目</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本期发生额</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上期发生额</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一、营业总收入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4,147,121,738.76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3,844,540,972.24</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其中：营业收入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4,147,121,738.76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3,844,540,972.24</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已赚保费</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手续费及佣金收入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二、营业总成本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3,975,028,018.27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3,772,854,886.63</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w:t>
            </w:r>
            <w:r>
              <w:rPr>
                <w:szCs w:val="24"/>
              </w:rPr>
              <w:t>：营业成本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3,720,739,903.94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3,553,427,977.30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利息支出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手续费及佣金支出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退保金</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赔付支出净额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提取保险责任准备金净额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保单红利支出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分保费用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税金及附加</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14,602,731.14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14,356,883.10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销售费用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36,905,154.95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52,899,076.46</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管理费用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89,192,120.73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84,036,</w:t>
            </w:r>
            <w:r>
              <w:rPr>
                <w:szCs w:val="24"/>
              </w:rPr>
              <w:t>847.71</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研发费用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36,688,287.87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28,762,967.77</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财务费用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76,899,819.64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39,371,134.29</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其中：利息费用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71,532,090.26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54,095,622.42</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-9,505,288.70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6,364,256.51</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加：其他收益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12,895,001.46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16,933,979.84</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投资收益（损失以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36,091,439.77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15,675,461.39</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其中：对联营企业和合营企业的投资收益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以摊余成本计量的金融资产终止确认收益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汇兑收益（损失以</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净敞口套期收益（损失以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公允价值变动收益（损失以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-18,031,288.09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19,210,357.07</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信用减值损失（损失以</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-15,589,286.42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-10,061,500.40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资产减值损失（损失以</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资产处置收益（损失以</w:t>
            </w:r>
            <w:r>
              <w:rPr>
                <w:szCs w:val="24"/>
              </w:rPr>
              <w:t>“-”</w:t>
            </w:r>
            <w:r>
              <w:rPr>
                <w:szCs w:val="24"/>
              </w:rPr>
              <w:t>号填</w:t>
            </w:r>
            <w:r>
              <w:rPr>
                <w:szCs w:val="24"/>
              </w:rPr>
              <w:t>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-1,037,782.41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37,511,199.75</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三、营业利润（亏损以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186,421,804.80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150,955,583.26</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加：营业外收入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1,254,860.33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1,602,314.80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减：营业外支出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1,872,204.49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509,351.57</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四、利润总额（亏损总额以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185,804,460.64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152,048,546.49</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减：所得税费用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28,188,891.32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11,763,269.68</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五、净利润（净亏损以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157,615,569.32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140,285,276.81</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（一）按经营持续性分类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1.</w:t>
            </w:r>
            <w:r>
              <w:rPr>
                <w:szCs w:val="24"/>
              </w:rPr>
              <w:t>持续经营净利润（净亏损以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157,615,569.32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140,285,276.81</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2.</w:t>
            </w:r>
            <w:r>
              <w:rPr>
                <w:szCs w:val="24"/>
              </w:rPr>
              <w:t>终止经营净利润（净亏损以</w:t>
            </w:r>
            <w:r>
              <w:rPr>
                <w:szCs w:val="24"/>
              </w:rPr>
              <w:t>“</w:t>
            </w:r>
            <w:r>
              <w:rPr>
                <w:szCs w:val="24"/>
              </w:rPr>
              <w:t>－</w:t>
            </w:r>
            <w:r>
              <w:rPr>
                <w:szCs w:val="24"/>
              </w:rPr>
              <w:t>”</w:t>
            </w:r>
            <w:r>
              <w:rPr>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（二）按所有权归属分类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1.</w:t>
            </w:r>
            <w:r>
              <w:rPr>
                <w:szCs w:val="24"/>
              </w:rPr>
              <w:t>归属于母公司所有者的净利润</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150,058,072.74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131,213,682.07</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2.</w:t>
            </w:r>
            <w:r>
              <w:rPr>
                <w:szCs w:val="24"/>
              </w:rPr>
              <w:t>少数股东损益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7,557,496.58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9,071,594.74</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六、其他综合收益的税后净额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-11,8</w:t>
            </w:r>
            <w:r>
              <w:rPr>
                <w:szCs w:val="24"/>
              </w:rPr>
              <w:t>19,630.51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-67,175,749.38</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归属母公司所有者的其他综合收益的税后净额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-11,819,630.51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-67,175,749.38</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（一）不能重分类进损益的其他综合收益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-1,240,216.87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561,148.72</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1.</w:t>
            </w:r>
            <w:r>
              <w:rPr>
                <w:szCs w:val="24"/>
              </w:rPr>
              <w:t>重新计量设定受益计划变动额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2.</w:t>
            </w:r>
            <w:r>
              <w:rPr>
                <w:szCs w:val="24"/>
              </w:rPr>
              <w:t>权益法下不能转损益的其他综合收益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3.</w:t>
            </w:r>
            <w:r>
              <w:rPr>
                <w:szCs w:val="24"/>
              </w:rPr>
              <w:t>其他权益工具投资公允价值变动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-1,240,216.87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561,148.72</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4.</w:t>
            </w:r>
            <w:r>
              <w:rPr>
                <w:szCs w:val="24"/>
              </w:rPr>
              <w:t>企业自身信用风险公允价值变动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5</w:t>
            </w:r>
            <w:r>
              <w:rPr>
                <w:szCs w:val="24"/>
              </w:rPr>
              <w:t>.</w:t>
            </w:r>
            <w:r>
              <w:rPr>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（二）将重分类进损益的其他综合收益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-10,579,413.64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-67,736,898.10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1.</w:t>
            </w:r>
            <w:r>
              <w:rPr>
                <w:szCs w:val="24"/>
              </w:rPr>
              <w:t>权益法下可转损益的其他综合收益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2.</w:t>
            </w:r>
            <w:r>
              <w:rPr>
                <w:szCs w:val="24"/>
              </w:rPr>
              <w:t>其他债权投资公允价值变动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3.</w:t>
            </w:r>
            <w:r>
              <w:rPr>
                <w:szCs w:val="24"/>
              </w:rPr>
              <w:t>金融资产重分类计入其他综合收益的金额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4.</w:t>
            </w:r>
            <w:r>
              <w:rPr>
                <w:szCs w:val="24"/>
              </w:rPr>
              <w:t>其他债权投资信用减值准备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5.</w:t>
            </w:r>
            <w:r>
              <w:rPr>
                <w:szCs w:val="24"/>
              </w:rPr>
              <w:t>现金流量套期储备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6.</w:t>
            </w:r>
            <w:r>
              <w:rPr>
                <w:szCs w:val="24"/>
              </w:rPr>
              <w:t>外币财务报表折算差额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-10,579,413.64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-67,736,898.10</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w:t>
            </w:r>
            <w:r>
              <w:rPr>
                <w:szCs w:val="24"/>
              </w:rPr>
              <w:t>7.</w:t>
            </w:r>
            <w:r>
              <w:rPr>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归属于少数股东的其他综合收益的</w:t>
            </w:r>
            <w:r>
              <w:rPr>
                <w:szCs w:val="24"/>
              </w:rPr>
              <w:t>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七、综合收益总额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145,795,938.81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73,109,527.43</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归属于母公司所有者的综合收益总额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138,238,442.23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64,037,932.69</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归属于少数股东的综合收益总额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7,557,496.58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9,071,594.74</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八、每股收益：</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（一）基本每股收益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0.09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0.09</w:t>
            </w:r>
          </w:p>
        </w:tc>
      </w:tr>
      <w:tr w:rsidR="00000000">
        <w:tblPrEx>
          <w:tblCellMar>
            <w:top w:w="0" w:type="dxa"/>
            <w:bottom w:w="0" w:type="dxa"/>
          </w:tblCellMar>
        </w:tblPrEx>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（二）稀释每股收益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0.09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0.09</w:t>
            </w:r>
          </w:p>
        </w:tc>
      </w:tr>
    </w:tbl>
    <w:p w:rsidR="00000000" w:rsidRDefault="00E93918">
      <w:pPr>
        <w:jc w:val="left"/>
        <w:rPr>
          <w:szCs w:val="24"/>
        </w:rPr>
      </w:pPr>
      <w:r>
        <w:rPr>
          <w:szCs w:val="24"/>
        </w:rPr>
        <w:t>本期发生同一控制下企业合并的，被合并方在合并前实现的净利润为：</w:t>
      </w:r>
      <w:r>
        <w:rPr>
          <w:szCs w:val="24"/>
        </w:rPr>
        <w:t>0.00</w:t>
      </w:r>
      <w:r>
        <w:rPr>
          <w:szCs w:val="24"/>
        </w:rPr>
        <w:t>元，上期被合并方实现的净利润为：</w:t>
      </w:r>
      <w:r>
        <w:rPr>
          <w:szCs w:val="24"/>
        </w:rPr>
        <w:t>0.00</w:t>
      </w:r>
      <w:r>
        <w:rPr>
          <w:szCs w:val="24"/>
        </w:rPr>
        <w:t>元。</w:t>
      </w:r>
    </w:p>
    <w:p w:rsidR="00000000" w:rsidRDefault="00E93918">
      <w:pPr>
        <w:spacing w:before="300"/>
        <w:rPr>
          <w:szCs w:val="24"/>
        </w:rPr>
      </w:pPr>
      <w:r>
        <w:rPr>
          <w:szCs w:val="24"/>
        </w:rPr>
        <w:t>法</w:t>
      </w:r>
      <w:r>
        <w:rPr>
          <w:szCs w:val="24"/>
        </w:rPr>
        <w:t>定代表人：孙伟挺</w:t>
      </w:r>
      <w:r>
        <w:rPr>
          <w:szCs w:val="24"/>
        </w:rPr>
        <w:t xml:space="preserve">                    </w:t>
      </w:r>
      <w:r>
        <w:rPr>
          <w:szCs w:val="24"/>
        </w:rPr>
        <w:t>主管会计工作负责人：陈玲芬</w:t>
      </w:r>
      <w:r>
        <w:rPr>
          <w:szCs w:val="24"/>
        </w:rPr>
        <w:t xml:space="preserve">                    </w:t>
      </w:r>
      <w:r>
        <w:rPr>
          <w:szCs w:val="24"/>
        </w:rPr>
        <w:t>会计机构负责人：王国友</w:t>
      </w:r>
    </w:p>
    <w:p w:rsidR="00000000" w:rsidRDefault="00E93918">
      <w:pPr>
        <w:pStyle w:val="Section"/>
        <w:outlineLvl w:val="3"/>
        <w:rPr>
          <w:bCs w:val="0"/>
          <w:szCs w:val="24"/>
        </w:rPr>
      </w:pPr>
      <w:r>
        <w:rPr>
          <w:bCs w:val="0"/>
          <w:szCs w:val="24"/>
        </w:rPr>
        <w:t>3</w:t>
      </w:r>
      <w:r>
        <w:rPr>
          <w:bCs w:val="0"/>
          <w:szCs w:val="24"/>
        </w:rPr>
        <w:t>、合并现金流量表</w:t>
      </w:r>
    </w:p>
    <w:p w:rsidR="00000000" w:rsidRDefault="00E93918">
      <w:pPr>
        <w:jc w:val="right"/>
        <w:rPr>
          <w:szCs w:val="24"/>
        </w:rPr>
      </w:pPr>
      <w:r>
        <w:rPr>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6"/>
        <w:gridCol w:w="3301"/>
        <w:gridCol w:w="3301"/>
      </w:tblGrid>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本期发生额</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center"/>
              <w:rPr>
                <w:szCs w:val="24"/>
              </w:rPr>
            </w:pPr>
            <w:r>
              <w:rPr>
                <w:szCs w:val="24"/>
              </w:rPr>
              <w:t>上期发生额</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4,376,875,626.52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4,407,996,478.32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客户存款和同业存放款项净增加额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向中央银行借款净增加额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向其他金融机构拆入资金净增加额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收到原保险合同保费取得的现金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w:t>
            </w:r>
            <w:r>
              <w:rPr>
                <w:szCs w:val="24"/>
              </w:rPr>
              <w:t>到再保业务现金净额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保户储金及投资款净增加额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收取利息、手续费及佣金的现金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回购业务资金净增加额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代理买卖证券收到的现金净额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27,322,859.66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17,977,662.43</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36,929,231.11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20,728,246.29</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4,441,127,717.29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4,446,702,387.04</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3,223,77</w:t>
            </w:r>
            <w:r>
              <w:rPr>
                <w:szCs w:val="24"/>
              </w:rPr>
              <w:t>3,020.48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3,164,605,254.92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客户贷款及垫款净增加额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存放中央银行和同业款项净增加额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支付原保险合同赔付款项的现金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拆出资金净增加额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支付保单红利的现金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291,007,592.40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208,320,243.73</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128,952,234.26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59,760,038.41</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110,308,885.81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w:t>
            </w:r>
            <w:r>
              <w:rPr>
                <w:szCs w:val="24"/>
              </w:rPr>
              <w:t>02,772,759.30</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3,754,041,732.95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3,535,458,296.36</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687,085,984.34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911,244,090.68</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15,864,631.06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455,330.84</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1,202,700.00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1,148,375.00</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16,192,192.42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393,593,213.19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322,458,643.19</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410,696,544.25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340,254,541.45</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55,854,191.67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41,662,232.66</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40,050,000.00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质押贷款净增加额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47,6</w:t>
            </w:r>
            <w:r>
              <w:rPr>
                <w:szCs w:val="24"/>
              </w:rPr>
              <w:t>15,817.94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253,951,625.61</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143,520,009.61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295,613,858.27</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267,176,534.64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44,640,683.18</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其中：子公司吸收少数股东投资收到的现金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3,571,548,889.03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3,316,905,585.32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88,149,286.60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124,157,</w:t>
            </w:r>
            <w:r>
              <w:rPr>
                <w:szCs w:val="24"/>
              </w:rPr>
              <w:t>189.02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3,659,698,175.63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3,441,062,774.34</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4,085,146,260.94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4,901,239,603.27</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294,182,699.81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56,572,717.95</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其中：子公司支付给少数股东的股利、利润</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538,485,562.06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195,336,512.67</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4,917,814,522.81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5,15</w:t>
            </w:r>
            <w:r>
              <w:rPr>
                <w:szCs w:val="24"/>
              </w:rPr>
              <w:t>3,148,833.89</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-1,258,116,347.18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-1,712,086,059.55</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-884,059.13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-25,297,503.05</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-304,737,887.33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-781,498,788.74</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2,400,684,971.97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2,186,131,974.82</w:t>
            </w:r>
          </w:p>
        </w:tc>
      </w:tr>
      <w:tr w:rsidR="00000000">
        <w:tblPrEx>
          <w:tblCellMar>
            <w:top w:w="0" w:type="dxa"/>
            <w:bottom w:w="0" w:type="dxa"/>
          </w:tblCellMar>
        </w:tblPrEx>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000000" w:rsidRDefault="00E93918">
            <w:pPr>
              <w:jc w:val="left"/>
              <w:rPr>
                <w:szCs w:val="24"/>
              </w:rPr>
            </w:pPr>
            <w:r>
              <w:rPr>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2,095,947,084.64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E93918">
            <w:pPr>
              <w:jc w:val="right"/>
              <w:rPr>
                <w:szCs w:val="24"/>
              </w:rPr>
            </w:pPr>
            <w:r>
              <w:rPr>
                <w:szCs w:val="24"/>
              </w:rPr>
              <w:t>1,404,633,18</w:t>
            </w:r>
            <w:r>
              <w:rPr>
                <w:szCs w:val="24"/>
              </w:rPr>
              <w:t>6.08</w:t>
            </w:r>
          </w:p>
        </w:tc>
      </w:tr>
    </w:tbl>
    <w:p w:rsidR="00000000" w:rsidRDefault="00E93918">
      <w:pPr>
        <w:pStyle w:val="Section"/>
        <w:outlineLvl w:val="2"/>
        <w:rPr>
          <w:bCs w:val="0"/>
          <w:szCs w:val="24"/>
        </w:rPr>
      </w:pPr>
      <w:r>
        <w:rPr>
          <w:bCs w:val="0"/>
          <w:szCs w:val="24"/>
        </w:rPr>
        <w:t>(</w:t>
      </w:r>
      <w:r>
        <w:rPr>
          <w:bCs w:val="0"/>
          <w:szCs w:val="24"/>
        </w:rPr>
        <w:t>二</w:t>
      </w:r>
      <w:r>
        <w:rPr>
          <w:bCs w:val="0"/>
          <w:szCs w:val="24"/>
        </w:rPr>
        <w:t>)</w:t>
      </w:r>
      <w:r>
        <w:rPr>
          <w:bCs w:val="0"/>
          <w:szCs w:val="24"/>
        </w:rPr>
        <w:t>审计报告</w:t>
      </w:r>
    </w:p>
    <w:p w:rsidR="00000000" w:rsidRPr="0001695A" w:rsidRDefault="00E93918" w:rsidP="0001695A">
      <w:pPr>
        <w:spacing w:before="0" w:after="0" w:line="500" w:lineRule="exact"/>
        <w:jc w:val="left"/>
      </w:pPr>
      <w:r w:rsidRPr="0001695A">
        <w:t>第一季度报告是否经过审计</w:t>
      </w:r>
    </w:p>
    <w:p w:rsidR="00000000" w:rsidRPr="0001695A" w:rsidRDefault="00E93918" w:rsidP="0001695A">
      <w:pPr>
        <w:spacing w:before="0" w:after="0" w:line="500" w:lineRule="exact"/>
        <w:jc w:val="left"/>
      </w:pPr>
      <w:r w:rsidRPr="0001695A">
        <w:t xml:space="preserve">□ </w:t>
      </w:r>
      <w:r w:rsidRPr="0001695A">
        <w:t>是</w:t>
      </w:r>
      <w:r w:rsidRPr="0001695A">
        <w:t xml:space="preserve"> √ </w:t>
      </w:r>
      <w:r w:rsidRPr="0001695A">
        <w:t>否</w:t>
      </w:r>
      <w:r w:rsidRPr="0001695A">
        <w:t xml:space="preserve"> </w:t>
      </w:r>
    </w:p>
    <w:p w:rsidR="00000000" w:rsidRPr="0001695A" w:rsidRDefault="00E93918" w:rsidP="0001695A">
      <w:pPr>
        <w:spacing w:before="0" w:after="0" w:line="500" w:lineRule="exact"/>
        <w:jc w:val="left"/>
      </w:pPr>
      <w:r w:rsidRPr="0001695A">
        <w:t>公司第一季度报告未经审计。</w:t>
      </w:r>
    </w:p>
    <w:p w:rsidR="00000000" w:rsidRDefault="0001695A" w:rsidP="0001695A">
      <w:pPr>
        <w:spacing w:before="0" w:after="0" w:line="500" w:lineRule="exact"/>
        <w:jc w:val="right"/>
        <w:rPr>
          <w:rFonts w:hint="eastAsia"/>
        </w:rPr>
      </w:pPr>
      <w:r>
        <w:t>华孚时尚股份有限公司</w:t>
      </w:r>
      <w:r>
        <w:rPr>
          <w:rFonts w:hint="eastAsia"/>
        </w:rPr>
        <w:t>董事会</w:t>
      </w:r>
    </w:p>
    <w:p w:rsidR="0001695A" w:rsidRPr="0001695A" w:rsidRDefault="0001695A" w:rsidP="0001695A">
      <w:pPr>
        <w:spacing w:before="0" w:after="0" w:line="500" w:lineRule="exact"/>
        <w:jc w:val="right"/>
      </w:pPr>
      <w:r>
        <w:rPr>
          <w:rFonts w:hint="eastAsia"/>
        </w:rPr>
        <w:t>二〇二二年四月二十八日</w:t>
      </w:r>
    </w:p>
    <w:sectPr w:rsidR="0001695A" w:rsidRPr="0001695A">
      <w:headerReference w:type="default" r:id="rId7"/>
      <w:footerReference w:type="default" r:id="rId8"/>
      <w:pgSz w:w="11906" w:h="16838"/>
      <w:pgMar w:top="1440" w:right="1134" w:bottom="144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18" w:rsidRDefault="00E93918">
      <w:pPr>
        <w:spacing w:before="0" w:after="0"/>
      </w:pPr>
      <w:r>
        <w:separator/>
      </w:r>
    </w:p>
  </w:endnote>
  <w:endnote w:type="continuationSeparator" w:id="0">
    <w:p w:rsidR="00E93918" w:rsidRDefault="00E939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93918">
    <w:pPr>
      <w:pStyle w:val="a5"/>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18" w:rsidRDefault="00E93918">
      <w:pPr>
        <w:spacing w:before="0" w:after="0"/>
      </w:pPr>
      <w:r>
        <w:separator/>
      </w:r>
    </w:p>
  </w:footnote>
  <w:footnote w:type="continuationSeparator" w:id="0">
    <w:p w:rsidR="00E93918" w:rsidRDefault="00E939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93918">
    <w:pPr>
      <w:pStyle w:val="a4"/>
    </w:pPr>
    <w:r>
      <w:t>华孚时尚股份有限公司</w:t>
    </w:r>
    <w:r>
      <w:t>2022</w:t>
    </w:r>
    <w:r>
      <w:t>年第一季度报告全文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5A"/>
    <w:rsid w:val="0001695A"/>
    <w:rsid w:val="00E9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cs="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rPr>
      <w:rFonts w:asciiTheme="majorHAnsi" w:eastAsia="宋体" w:hAnsiTheme="majorHAnsi" w:cstheme="majorBidi"/>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40" w:after="40"/>
      <w:jc w:val="both"/>
    </w:pPr>
    <w:rPr>
      <w:rFonts w:ascii="Times New Roman" w:eastAsia="宋体" w:hAnsi="Times New Roman" w:cs="Times New Roman"/>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rPr>
      <w:rFonts w:asciiTheme="majorHAnsi" w:eastAsia="宋体" w:hAnsiTheme="majorHAnsi" w:cstheme="majorBidi"/>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4">
    <w:name w:val="header"/>
    <w:basedOn w:val="a"/>
    <w:link w:val="Char0"/>
    <w:uiPriority w:val="99"/>
    <w:pPr>
      <w:pBdr>
        <w:bottom w:val="single" w:sz="6" w:space="1" w:color="auto"/>
      </w:pBdr>
      <w:tabs>
        <w:tab w:val="center" w:pos="4153"/>
        <w:tab w:val="right" w:pos="8306"/>
      </w:tabs>
      <w:snapToGrid w:val="0"/>
      <w:spacing w:before="0" w:after="0"/>
      <w:jc w:val="right"/>
    </w:p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paragraph" w:styleId="a5">
    <w:name w:val="footer"/>
    <w:basedOn w:val="a"/>
    <w:link w:val="Char1"/>
    <w:uiPriority w:val="99"/>
    <w:pPr>
      <w:tabs>
        <w:tab w:val="center" w:pos="4153"/>
        <w:tab w:val="right" w:pos="8306"/>
      </w:tabs>
      <w:snapToGrid w:val="0"/>
      <w:spacing w:before="0" w:after="0"/>
      <w:jc w:val="right"/>
    </w:pPr>
  </w:style>
  <w:style w:type="character" w:customStyle="1" w:styleId="Char1">
    <w:name w:val="页脚 Char"/>
    <w:basedOn w:val="a0"/>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华孚时尚股份有限公司2022年第一季度报告全文</dc:title>
  <dc:creator>华孚时尚股份有限公司</dc:creator>
  <cp:lastModifiedBy>孙献</cp:lastModifiedBy>
  <cp:revision>2</cp:revision>
  <dcterms:created xsi:type="dcterms:W3CDTF">2022-04-27T08:02:00Z</dcterms:created>
  <dcterms:modified xsi:type="dcterms:W3CDTF">2022-04-27T08:02:00Z</dcterms:modified>
</cp:coreProperties>
</file>