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59" w:rsidRPr="00076E65" w:rsidRDefault="00076E65">
      <w:pPr>
        <w:spacing w:line="360" w:lineRule="auto"/>
        <w:jc w:val="center"/>
        <w:rPr>
          <w:rFonts w:ascii="黑体" w:eastAsia="黑体" w:hAnsi="黑体"/>
          <w:b/>
          <w:kern w:val="0"/>
          <w:szCs w:val="21"/>
        </w:rPr>
      </w:pPr>
      <w:r w:rsidRPr="00076E65">
        <w:rPr>
          <w:rFonts w:ascii="黑体" w:eastAsia="黑体" w:hAnsi="黑体"/>
          <w:bCs/>
          <w:kern w:val="0"/>
          <w:szCs w:val="21"/>
        </w:rPr>
        <w:t>证券代码：</w:t>
      </w:r>
      <w:r w:rsidRPr="00076E65">
        <w:rPr>
          <w:rFonts w:ascii="黑体" w:eastAsia="黑体" w:hAnsi="黑体"/>
          <w:bCs/>
          <w:kern w:val="0"/>
          <w:szCs w:val="21"/>
        </w:rPr>
        <w:t xml:space="preserve">002042      </w:t>
      </w:r>
      <w:r w:rsidRPr="00076E65">
        <w:rPr>
          <w:rFonts w:ascii="黑体" w:eastAsia="黑体" w:hAnsi="黑体" w:hint="eastAsia"/>
          <w:bCs/>
          <w:kern w:val="0"/>
          <w:szCs w:val="21"/>
        </w:rPr>
        <w:t xml:space="preserve">      </w:t>
      </w:r>
      <w:r w:rsidRPr="00076E65">
        <w:rPr>
          <w:rFonts w:ascii="黑体" w:eastAsia="黑体" w:hAnsi="黑体"/>
          <w:bCs/>
          <w:kern w:val="0"/>
          <w:szCs w:val="21"/>
        </w:rPr>
        <w:t xml:space="preserve">   </w:t>
      </w:r>
      <w:r w:rsidRPr="00076E65">
        <w:rPr>
          <w:rFonts w:ascii="黑体" w:eastAsia="黑体" w:hAnsi="黑体"/>
          <w:bCs/>
          <w:kern w:val="0"/>
          <w:szCs w:val="21"/>
        </w:rPr>
        <w:t>证券简称：华孚时尚</w:t>
      </w:r>
      <w:r w:rsidRPr="00076E65">
        <w:rPr>
          <w:rFonts w:ascii="黑体" w:eastAsia="黑体" w:hAnsi="黑体"/>
          <w:bCs/>
          <w:kern w:val="0"/>
          <w:szCs w:val="21"/>
        </w:rPr>
        <w:t xml:space="preserve">    </w:t>
      </w:r>
      <w:r w:rsidRPr="00076E65">
        <w:rPr>
          <w:rFonts w:ascii="黑体" w:eastAsia="黑体" w:hAnsi="黑体" w:hint="eastAsia"/>
          <w:bCs/>
          <w:kern w:val="0"/>
          <w:szCs w:val="21"/>
        </w:rPr>
        <w:t xml:space="preserve">      </w:t>
      </w:r>
      <w:r w:rsidRPr="00076E65">
        <w:rPr>
          <w:rFonts w:ascii="黑体" w:eastAsia="黑体" w:hAnsi="黑体"/>
          <w:bCs/>
          <w:kern w:val="0"/>
          <w:szCs w:val="21"/>
        </w:rPr>
        <w:t xml:space="preserve">   </w:t>
      </w:r>
      <w:r w:rsidRPr="00076E65">
        <w:rPr>
          <w:rFonts w:ascii="黑体" w:eastAsia="黑体" w:hAnsi="黑体"/>
          <w:bCs/>
          <w:kern w:val="0"/>
          <w:szCs w:val="21"/>
        </w:rPr>
        <w:t>公告编号：</w:t>
      </w:r>
      <w:r w:rsidRPr="00076E65">
        <w:rPr>
          <w:rFonts w:ascii="黑体" w:eastAsia="黑体" w:hAnsi="黑体"/>
          <w:bCs/>
          <w:kern w:val="0"/>
          <w:szCs w:val="21"/>
        </w:rPr>
        <w:t>20</w:t>
      </w:r>
      <w:r w:rsidRPr="00076E65">
        <w:rPr>
          <w:rFonts w:ascii="黑体" w:eastAsia="黑体" w:hAnsi="黑体" w:hint="eastAsia"/>
          <w:bCs/>
          <w:kern w:val="0"/>
          <w:szCs w:val="21"/>
        </w:rPr>
        <w:t>24-21</w:t>
      </w:r>
    </w:p>
    <w:p w:rsidR="00565C59" w:rsidRPr="00076E65" w:rsidRDefault="00076E65">
      <w:pPr>
        <w:widowControl/>
        <w:spacing w:line="800" w:lineRule="exact"/>
        <w:jc w:val="center"/>
        <w:rPr>
          <w:rFonts w:asciiTheme="minorEastAsia" w:eastAsiaTheme="minorEastAsia" w:hAnsiTheme="minorEastAsia"/>
          <w:b/>
          <w:kern w:val="0"/>
          <w:sz w:val="36"/>
          <w:szCs w:val="36"/>
        </w:rPr>
      </w:pPr>
      <w:r w:rsidRPr="00076E65">
        <w:rPr>
          <w:rFonts w:asciiTheme="minorEastAsia" w:eastAsiaTheme="minorEastAsia" w:hAnsiTheme="minorEastAsia"/>
          <w:b/>
          <w:kern w:val="0"/>
          <w:sz w:val="36"/>
          <w:szCs w:val="36"/>
        </w:rPr>
        <w:t>华孚时尚股份有限公司</w:t>
      </w:r>
    </w:p>
    <w:p w:rsidR="00565C59" w:rsidRPr="00076E65" w:rsidRDefault="00076E65">
      <w:pPr>
        <w:widowControl/>
        <w:spacing w:line="800" w:lineRule="exact"/>
        <w:jc w:val="center"/>
        <w:rPr>
          <w:rFonts w:asciiTheme="minorEastAsia" w:eastAsiaTheme="minorEastAsia" w:hAnsiTheme="minorEastAsia"/>
          <w:b/>
          <w:kern w:val="0"/>
          <w:sz w:val="36"/>
          <w:szCs w:val="36"/>
        </w:rPr>
      </w:pPr>
      <w:r w:rsidRPr="00076E65">
        <w:rPr>
          <w:rFonts w:asciiTheme="minorEastAsia" w:eastAsiaTheme="minorEastAsia" w:hAnsiTheme="minorEastAsia"/>
          <w:b/>
          <w:kern w:val="0"/>
          <w:sz w:val="36"/>
          <w:szCs w:val="36"/>
        </w:rPr>
        <w:t>关于预计</w:t>
      </w:r>
      <w:r w:rsidRPr="00076E65">
        <w:rPr>
          <w:rFonts w:asciiTheme="minorEastAsia" w:eastAsiaTheme="minorEastAsia" w:hAnsiTheme="minorEastAsia"/>
          <w:b/>
          <w:kern w:val="0"/>
          <w:sz w:val="36"/>
          <w:szCs w:val="36"/>
        </w:rPr>
        <w:t>202</w:t>
      </w:r>
      <w:r w:rsidRPr="00076E65">
        <w:rPr>
          <w:rFonts w:asciiTheme="minorEastAsia" w:eastAsiaTheme="minorEastAsia" w:hAnsiTheme="minorEastAsia" w:hint="eastAsia"/>
          <w:b/>
          <w:kern w:val="0"/>
          <w:sz w:val="36"/>
          <w:szCs w:val="36"/>
        </w:rPr>
        <w:t>4</w:t>
      </w:r>
      <w:r w:rsidRPr="00076E65">
        <w:rPr>
          <w:rFonts w:asciiTheme="minorEastAsia" w:eastAsiaTheme="minorEastAsia" w:hAnsiTheme="minorEastAsia"/>
          <w:b/>
          <w:kern w:val="0"/>
          <w:sz w:val="36"/>
          <w:szCs w:val="36"/>
        </w:rPr>
        <w:t>年度参与期货</w:t>
      </w:r>
      <w:r w:rsidRPr="00076E65">
        <w:rPr>
          <w:rFonts w:asciiTheme="minorEastAsia" w:eastAsiaTheme="minorEastAsia" w:hAnsiTheme="minorEastAsia" w:hint="eastAsia"/>
          <w:b/>
          <w:kern w:val="0"/>
          <w:sz w:val="36"/>
          <w:szCs w:val="36"/>
        </w:rPr>
        <w:t>套期保值</w:t>
      </w:r>
      <w:r w:rsidRPr="00076E65">
        <w:rPr>
          <w:rFonts w:asciiTheme="minorEastAsia" w:eastAsiaTheme="minorEastAsia" w:hAnsiTheme="minorEastAsia"/>
          <w:b/>
          <w:kern w:val="0"/>
          <w:sz w:val="36"/>
          <w:szCs w:val="36"/>
        </w:rPr>
        <w:t>交易事项</w:t>
      </w:r>
    </w:p>
    <w:p w:rsidR="00565C59" w:rsidRPr="00076E65" w:rsidRDefault="00076E65">
      <w:pPr>
        <w:widowControl/>
        <w:spacing w:line="800" w:lineRule="exact"/>
        <w:jc w:val="center"/>
        <w:rPr>
          <w:rFonts w:asciiTheme="minorEastAsia" w:eastAsiaTheme="minorEastAsia" w:hAnsiTheme="minorEastAsia"/>
          <w:b/>
          <w:kern w:val="0"/>
          <w:sz w:val="36"/>
          <w:szCs w:val="36"/>
        </w:rPr>
      </w:pPr>
      <w:r w:rsidRPr="00076E65">
        <w:rPr>
          <w:rFonts w:asciiTheme="minorEastAsia" w:eastAsiaTheme="minorEastAsia" w:hAnsiTheme="minorEastAsia"/>
          <w:b/>
          <w:kern w:val="0"/>
          <w:sz w:val="36"/>
          <w:szCs w:val="36"/>
        </w:rPr>
        <w:t>的公告</w:t>
      </w:r>
    </w:p>
    <w:p w:rsidR="00565C59" w:rsidRPr="00076E65" w:rsidRDefault="00076E65">
      <w:pPr>
        <w:spacing w:beforeLines="50" w:before="156" w:afterLines="50" w:after="156" w:line="360" w:lineRule="auto"/>
        <w:ind w:rightChars="20" w:right="42" w:firstLineChars="200" w:firstLine="480"/>
        <w:rPr>
          <w:rFonts w:ascii="Times New Roman" w:eastAsia="楷体_GB2312" w:hAnsi="Times New Roman"/>
          <w:sz w:val="24"/>
          <w:szCs w:val="24"/>
        </w:rPr>
      </w:pPr>
      <w:r w:rsidRPr="00076E65">
        <w:rPr>
          <w:rFonts w:ascii="Times New Roman" w:eastAsia="楷体_GB2312" w:hAnsi="Times New Roman"/>
          <w:sz w:val="24"/>
          <w:szCs w:val="24"/>
        </w:rPr>
        <w:t>本公司及董事会全体成员保证信息披露内容</w:t>
      </w:r>
      <w:bookmarkStart w:id="0" w:name="_GoBack"/>
      <w:bookmarkEnd w:id="0"/>
      <w:r w:rsidRPr="00076E65">
        <w:rPr>
          <w:rFonts w:ascii="Times New Roman" w:eastAsia="楷体_GB2312" w:hAnsi="Times New Roman"/>
          <w:sz w:val="24"/>
          <w:szCs w:val="24"/>
        </w:rPr>
        <w:t>的真实、准确和完整，没有虚假记载、误导性陈述或者重大遗漏。</w:t>
      </w:r>
    </w:p>
    <w:p w:rsidR="00565C59" w:rsidRPr="00076E65" w:rsidRDefault="00076E65">
      <w:pPr>
        <w:pStyle w:val="a6"/>
        <w:widowControl/>
        <w:spacing w:line="500" w:lineRule="exact"/>
        <w:ind w:firstLineChars="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t>一、公司参与期货套</w:t>
      </w:r>
      <w:proofErr w:type="gramStart"/>
      <w:r w:rsidRPr="00076E65">
        <w:rPr>
          <w:rFonts w:asciiTheme="minorEastAsia" w:eastAsiaTheme="minorEastAsia" w:hAnsiTheme="minorEastAsia"/>
          <w:b/>
          <w:kern w:val="0"/>
          <w:sz w:val="24"/>
          <w:szCs w:val="24"/>
        </w:rPr>
        <w:t>保交易</w:t>
      </w:r>
      <w:proofErr w:type="gramEnd"/>
      <w:r w:rsidRPr="00076E65">
        <w:rPr>
          <w:rFonts w:asciiTheme="minorEastAsia" w:eastAsiaTheme="minorEastAsia" w:hAnsiTheme="minorEastAsia"/>
          <w:b/>
          <w:kern w:val="0"/>
          <w:sz w:val="24"/>
          <w:szCs w:val="24"/>
        </w:rPr>
        <w:t>的情况概述</w:t>
      </w:r>
    </w:p>
    <w:p w:rsidR="00565C59" w:rsidRPr="00076E65" w:rsidRDefault="00076E65">
      <w:pPr>
        <w:widowControl/>
        <w:spacing w:line="500" w:lineRule="exact"/>
        <w:ind w:firstLineChars="200" w:firstLine="48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华孚时尚股份有限公司（以下简称“公司”）</w:t>
      </w:r>
      <w:r w:rsidRPr="00076E65">
        <w:rPr>
          <w:rFonts w:asciiTheme="minorEastAsia" w:eastAsiaTheme="minorEastAsia" w:hAnsiTheme="minorEastAsia" w:hint="eastAsia"/>
          <w:kern w:val="0"/>
          <w:sz w:val="24"/>
          <w:szCs w:val="24"/>
        </w:rPr>
        <w:t>2024</w:t>
      </w:r>
      <w:r w:rsidRPr="00076E65">
        <w:rPr>
          <w:rFonts w:asciiTheme="minorEastAsia" w:eastAsiaTheme="minorEastAsia" w:hAnsiTheme="minorEastAsia" w:hint="eastAsia"/>
          <w:kern w:val="0"/>
          <w:sz w:val="24"/>
          <w:szCs w:val="24"/>
        </w:rPr>
        <w:t>年</w:t>
      </w:r>
      <w:r w:rsidRPr="00076E65">
        <w:rPr>
          <w:rFonts w:asciiTheme="minorEastAsia" w:eastAsiaTheme="minorEastAsia" w:hAnsiTheme="minorEastAsia"/>
          <w:kern w:val="0"/>
          <w:sz w:val="24"/>
          <w:szCs w:val="24"/>
        </w:rPr>
        <w:t>拟对棉花</w:t>
      </w:r>
      <w:r w:rsidRPr="00076E65">
        <w:rPr>
          <w:rFonts w:asciiTheme="minorEastAsia" w:eastAsiaTheme="minorEastAsia" w:hAnsiTheme="minorEastAsia" w:hint="eastAsia"/>
          <w:kern w:val="0"/>
          <w:sz w:val="24"/>
          <w:szCs w:val="24"/>
        </w:rPr>
        <w:t>和棉纱</w:t>
      </w:r>
      <w:r w:rsidRPr="00076E65">
        <w:rPr>
          <w:rFonts w:asciiTheme="minorEastAsia" w:eastAsiaTheme="minorEastAsia" w:hAnsiTheme="minorEastAsia"/>
          <w:kern w:val="0"/>
          <w:sz w:val="24"/>
          <w:szCs w:val="24"/>
        </w:rPr>
        <w:t>期货进行交易，根据市场和公司经营情况，预计公司</w:t>
      </w:r>
      <w:r w:rsidRPr="00076E65">
        <w:rPr>
          <w:rFonts w:asciiTheme="minorEastAsia" w:eastAsiaTheme="minorEastAsia" w:hAnsiTheme="minorEastAsia" w:hint="eastAsia"/>
          <w:kern w:val="0"/>
          <w:sz w:val="24"/>
          <w:szCs w:val="24"/>
        </w:rPr>
        <w:t>2024</w:t>
      </w:r>
      <w:r w:rsidRPr="00076E65">
        <w:rPr>
          <w:rFonts w:asciiTheme="minorEastAsia" w:eastAsiaTheme="minorEastAsia" w:hAnsiTheme="minorEastAsia" w:hint="eastAsia"/>
          <w:kern w:val="0"/>
          <w:sz w:val="24"/>
          <w:szCs w:val="24"/>
        </w:rPr>
        <w:t>年</w:t>
      </w:r>
      <w:r w:rsidRPr="00076E65">
        <w:rPr>
          <w:rFonts w:asciiTheme="minorEastAsia" w:eastAsiaTheme="minorEastAsia" w:hAnsiTheme="minorEastAsia"/>
          <w:kern w:val="0"/>
          <w:sz w:val="24"/>
          <w:szCs w:val="24"/>
        </w:rPr>
        <w:t>度开展期货套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的保证金最高额度不超过人民币</w:t>
      </w:r>
      <w:r w:rsidRPr="00076E65">
        <w:rPr>
          <w:rFonts w:asciiTheme="minorEastAsia" w:eastAsiaTheme="minorEastAsia" w:hAnsiTheme="minorEastAsia" w:hint="eastAsia"/>
          <w:kern w:val="0"/>
          <w:sz w:val="24"/>
          <w:szCs w:val="24"/>
        </w:rPr>
        <w:t>15</w:t>
      </w:r>
      <w:r w:rsidRPr="00076E65">
        <w:rPr>
          <w:rFonts w:asciiTheme="minorEastAsia" w:eastAsiaTheme="minorEastAsia" w:hAnsiTheme="minorEastAsia" w:hint="eastAsia"/>
          <w:kern w:val="0"/>
          <w:sz w:val="24"/>
          <w:szCs w:val="24"/>
        </w:rPr>
        <w:t>亿</w:t>
      </w:r>
      <w:r w:rsidRPr="00076E65">
        <w:rPr>
          <w:rFonts w:asciiTheme="minorEastAsia" w:eastAsiaTheme="minorEastAsia" w:hAnsiTheme="minorEastAsia"/>
          <w:kern w:val="0"/>
          <w:sz w:val="24"/>
          <w:szCs w:val="24"/>
        </w:rPr>
        <w:t>元。在该额度范围内资金可滚动使用。</w:t>
      </w:r>
    </w:p>
    <w:p w:rsidR="00565C59" w:rsidRPr="00076E65" w:rsidRDefault="00076E65">
      <w:pPr>
        <w:widowControl/>
        <w:spacing w:line="500" w:lineRule="exact"/>
        <w:ind w:firstLineChars="200" w:firstLine="480"/>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套保期货品种：纽约期货交易所（</w:t>
      </w:r>
      <w:r w:rsidRPr="00076E65">
        <w:rPr>
          <w:rFonts w:asciiTheme="minorEastAsia" w:eastAsiaTheme="minorEastAsia" w:hAnsiTheme="minorEastAsia"/>
          <w:kern w:val="0"/>
          <w:sz w:val="24"/>
          <w:szCs w:val="24"/>
        </w:rPr>
        <w:t>NYBOT</w:t>
      </w:r>
      <w:r w:rsidRPr="00076E65">
        <w:rPr>
          <w:rFonts w:asciiTheme="minorEastAsia" w:eastAsiaTheme="minorEastAsia" w:hAnsiTheme="minorEastAsia"/>
          <w:kern w:val="0"/>
          <w:sz w:val="24"/>
          <w:szCs w:val="24"/>
        </w:rPr>
        <w:t>）的棉花合约、郑州商品期货交易所交易的棉花合约</w:t>
      </w:r>
      <w:r w:rsidRPr="00076E65">
        <w:rPr>
          <w:rFonts w:asciiTheme="minorEastAsia" w:eastAsiaTheme="minorEastAsia" w:hAnsiTheme="minorEastAsia" w:hint="eastAsia"/>
          <w:kern w:val="0"/>
          <w:sz w:val="24"/>
          <w:szCs w:val="24"/>
        </w:rPr>
        <w:t>和棉纱合约等与公司生产经营有关的相关品种</w:t>
      </w:r>
      <w:r w:rsidRPr="00076E65">
        <w:rPr>
          <w:rFonts w:asciiTheme="minorEastAsia" w:eastAsiaTheme="minorEastAsia" w:hAnsiTheme="minorEastAsia"/>
          <w:kern w:val="0"/>
          <w:sz w:val="24"/>
          <w:szCs w:val="24"/>
        </w:rPr>
        <w:t>。</w:t>
      </w:r>
    </w:p>
    <w:p w:rsidR="00565C59" w:rsidRPr="00076E65" w:rsidRDefault="00076E65">
      <w:pPr>
        <w:widowControl/>
        <w:spacing w:line="500" w:lineRule="exact"/>
        <w:ind w:firstLineChars="200" w:firstLine="48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上述期货套</w:t>
      </w:r>
      <w:proofErr w:type="gramStart"/>
      <w:r w:rsidRPr="00076E65">
        <w:rPr>
          <w:rFonts w:asciiTheme="minorEastAsia" w:eastAsiaTheme="minorEastAsia" w:hAnsiTheme="minorEastAsia" w:hint="eastAsia"/>
          <w:kern w:val="0"/>
          <w:sz w:val="24"/>
          <w:szCs w:val="24"/>
        </w:rPr>
        <w:t>保交易</w:t>
      </w:r>
      <w:proofErr w:type="gramEnd"/>
      <w:r w:rsidRPr="00076E65">
        <w:rPr>
          <w:rFonts w:asciiTheme="minorEastAsia" w:eastAsiaTheme="minorEastAsia" w:hAnsiTheme="minorEastAsia" w:hint="eastAsia"/>
          <w:kern w:val="0"/>
          <w:sz w:val="24"/>
          <w:szCs w:val="24"/>
        </w:rPr>
        <w:t>事项已经公司</w:t>
      </w:r>
      <w:r w:rsidRPr="00076E65">
        <w:rPr>
          <w:rFonts w:asciiTheme="minorEastAsia" w:eastAsiaTheme="minorEastAsia" w:hAnsiTheme="minorEastAsia" w:hint="eastAsia"/>
          <w:kern w:val="0"/>
          <w:sz w:val="24"/>
          <w:szCs w:val="24"/>
        </w:rPr>
        <w:t>2024</w:t>
      </w:r>
      <w:r w:rsidRPr="00076E65">
        <w:rPr>
          <w:rFonts w:asciiTheme="minorEastAsia" w:eastAsiaTheme="minorEastAsia" w:hAnsiTheme="minorEastAsia" w:hint="eastAsia"/>
          <w:kern w:val="0"/>
          <w:sz w:val="24"/>
          <w:szCs w:val="24"/>
        </w:rPr>
        <w:t>年</w:t>
      </w:r>
      <w:r w:rsidRPr="00076E65">
        <w:rPr>
          <w:rFonts w:asciiTheme="minorEastAsia" w:eastAsiaTheme="minorEastAsia" w:hAnsiTheme="minorEastAsia" w:hint="eastAsia"/>
          <w:kern w:val="0"/>
          <w:sz w:val="24"/>
          <w:szCs w:val="24"/>
        </w:rPr>
        <w:t>4</w:t>
      </w:r>
      <w:r w:rsidRPr="00076E65">
        <w:rPr>
          <w:rFonts w:asciiTheme="minorEastAsia" w:eastAsiaTheme="minorEastAsia" w:hAnsiTheme="minorEastAsia" w:hint="eastAsia"/>
          <w:kern w:val="0"/>
          <w:sz w:val="24"/>
          <w:szCs w:val="24"/>
        </w:rPr>
        <w:t>月</w:t>
      </w:r>
      <w:r w:rsidRPr="00076E65">
        <w:rPr>
          <w:rFonts w:asciiTheme="minorEastAsia" w:eastAsiaTheme="minorEastAsia" w:hAnsiTheme="minorEastAsia" w:hint="eastAsia"/>
          <w:kern w:val="0"/>
          <w:sz w:val="24"/>
          <w:szCs w:val="24"/>
        </w:rPr>
        <w:t>25</w:t>
      </w:r>
      <w:r w:rsidRPr="00076E65">
        <w:rPr>
          <w:rFonts w:asciiTheme="minorEastAsia" w:eastAsiaTheme="minorEastAsia" w:hAnsiTheme="minorEastAsia" w:hint="eastAsia"/>
          <w:kern w:val="0"/>
          <w:sz w:val="24"/>
          <w:szCs w:val="24"/>
        </w:rPr>
        <w:t>日召开的第八届董事会第七次会议以</w:t>
      </w:r>
      <w:r w:rsidRPr="00076E65">
        <w:rPr>
          <w:rFonts w:asciiTheme="minorEastAsia" w:eastAsiaTheme="minorEastAsia" w:hAnsiTheme="minorEastAsia" w:hint="eastAsia"/>
          <w:kern w:val="0"/>
          <w:sz w:val="24"/>
          <w:szCs w:val="24"/>
        </w:rPr>
        <w:t>9</w:t>
      </w:r>
      <w:r w:rsidRPr="00076E65">
        <w:rPr>
          <w:rFonts w:asciiTheme="minorEastAsia" w:eastAsiaTheme="minorEastAsia" w:hAnsiTheme="minorEastAsia" w:hint="eastAsia"/>
          <w:kern w:val="0"/>
          <w:sz w:val="24"/>
          <w:szCs w:val="24"/>
        </w:rPr>
        <w:t>票赞成，</w:t>
      </w:r>
      <w:r w:rsidRPr="00076E65">
        <w:rPr>
          <w:rFonts w:asciiTheme="minorEastAsia" w:eastAsiaTheme="minorEastAsia" w:hAnsiTheme="minorEastAsia" w:hint="eastAsia"/>
          <w:kern w:val="0"/>
          <w:sz w:val="24"/>
          <w:szCs w:val="24"/>
        </w:rPr>
        <w:t>0</w:t>
      </w:r>
      <w:r w:rsidRPr="00076E65">
        <w:rPr>
          <w:rFonts w:asciiTheme="minorEastAsia" w:eastAsiaTheme="minorEastAsia" w:hAnsiTheme="minorEastAsia" w:hint="eastAsia"/>
          <w:kern w:val="0"/>
          <w:sz w:val="24"/>
          <w:szCs w:val="24"/>
        </w:rPr>
        <w:t>票反对，</w:t>
      </w:r>
      <w:r w:rsidRPr="00076E65">
        <w:rPr>
          <w:rFonts w:asciiTheme="minorEastAsia" w:eastAsiaTheme="minorEastAsia" w:hAnsiTheme="minorEastAsia" w:hint="eastAsia"/>
          <w:kern w:val="0"/>
          <w:sz w:val="24"/>
          <w:szCs w:val="24"/>
        </w:rPr>
        <w:t>0</w:t>
      </w:r>
      <w:r w:rsidRPr="00076E65">
        <w:rPr>
          <w:rFonts w:asciiTheme="minorEastAsia" w:eastAsiaTheme="minorEastAsia" w:hAnsiTheme="minorEastAsia" w:hint="eastAsia"/>
          <w:kern w:val="0"/>
          <w:sz w:val="24"/>
          <w:szCs w:val="24"/>
        </w:rPr>
        <w:t>票弃权的表决结果审议通过，该事项尚需提交公司股东大会审议。有效期为公司股东大会审议通过该事项之日起</w:t>
      </w:r>
      <w:r w:rsidRPr="00076E65">
        <w:rPr>
          <w:rFonts w:asciiTheme="minorEastAsia" w:eastAsiaTheme="minorEastAsia" w:hAnsiTheme="minorEastAsia" w:hint="eastAsia"/>
          <w:kern w:val="0"/>
          <w:sz w:val="24"/>
          <w:szCs w:val="24"/>
        </w:rPr>
        <w:t>12</w:t>
      </w:r>
      <w:r w:rsidRPr="00076E65">
        <w:rPr>
          <w:rFonts w:asciiTheme="minorEastAsia" w:eastAsiaTheme="minorEastAsia" w:hAnsiTheme="minorEastAsia" w:hint="eastAsia"/>
          <w:kern w:val="0"/>
          <w:sz w:val="24"/>
          <w:szCs w:val="24"/>
        </w:rPr>
        <w:t>个月。</w:t>
      </w:r>
    </w:p>
    <w:p w:rsidR="00565C59" w:rsidRPr="00076E65" w:rsidRDefault="00076E65">
      <w:pPr>
        <w:pStyle w:val="a6"/>
        <w:widowControl/>
        <w:spacing w:line="500" w:lineRule="exact"/>
        <w:ind w:firstLineChars="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t>二、公司参与期货套</w:t>
      </w:r>
      <w:proofErr w:type="gramStart"/>
      <w:r w:rsidRPr="00076E65">
        <w:rPr>
          <w:rFonts w:asciiTheme="minorEastAsia" w:eastAsiaTheme="minorEastAsia" w:hAnsiTheme="minorEastAsia"/>
          <w:b/>
          <w:kern w:val="0"/>
          <w:sz w:val="24"/>
          <w:szCs w:val="24"/>
        </w:rPr>
        <w:t>保交易</w:t>
      </w:r>
      <w:proofErr w:type="gramEnd"/>
      <w:r w:rsidRPr="00076E65">
        <w:rPr>
          <w:rFonts w:asciiTheme="minorEastAsia" w:eastAsiaTheme="minorEastAsia" w:hAnsiTheme="minorEastAsia"/>
          <w:b/>
          <w:kern w:val="0"/>
          <w:sz w:val="24"/>
          <w:szCs w:val="24"/>
        </w:rPr>
        <w:t>的必要性</w:t>
      </w:r>
      <w:r w:rsidRPr="00076E65">
        <w:rPr>
          <w:rFonts w:asciiTheme="minorEastAsia" w:eastAsiaTheme="minorEastAsia" w:hAnsiTheme="minorEastAsia" w:hint="eastAsia"/>
          <w:b/>
          <w:kern w:val="0"/>
          <w:sz w:val="24"/>
          <w:szCs w:val="24"/>
        </w:rPr>
        <w:t>及可行性</w:t>
      </w:r>
    </w:p>
    <w:p w:rsidR="00565C59" w:rsidRPr="00076E65" w:rsidRDefault="00076E65">
      <w:pPr>
        <w:widowControl/>
        <w:spacing w:line="500" w:lineRule="exact"/>
        <w:ind w:firstLineChars="200" w:firstLine="480"/>
        <w:rPr>
          <w:rFonts w:asciiTheme="minorEastAsia" w:eastAsiaTheme="minorEastAsia" w:hAnsiTheme="minorEastAsia"/>
          <w:sz w:val="24"/>
          <w:szCs w:val="24"/>
        </w:rPr>
      </w:pPr>
      <w:r w:rsidRPr="00076E65">
        <w:rPr>
          <w:rFonts w:asciiTheme="minorEastAsia" w:eastAsiaTheme="minorEastAsia" w:hAnsiTheme="minorEastAsia"/>
          <w:kern w:val="0"/>
          <w:sz w:val="24"/>
          <w:szCs w:val="24"/>
        </w:rPr>
        <w:t>公司拟参与期货</w:t>
      </w:r>
      <w:r w:rsidRPr="00076E65">
        <w:rPr>
          <w:rFonts w:asciiTheme="minorEastAsia" w:eastAsiaTheme="minorEastAsia" w:hAnsiTheme="minorEastAsia" w:hint="eastAsia"/>
          <w:kern w:val="0"/>
          <w:sz w:val="24"/>
          <w:szCs w:val="24"/>
        </w:rPr>
        <w:t>套期保值</w:t>
      </w:r>
      <w:r w:rsidRPr="00076E65">
        <w:rPr>
          <w:rFonts w:asciiTheme="minorEastAsia" w:eastAsiaTheme="minorEastAsia" w:hAnsiTheme="minorEastAsia"/>
          <w:kern w:val="0"/>
          <w:sz w:val="24"/>
          <w:szCs w:val="24"/>
        </w:rPr>
        <w:t>交易的品种为公司生产经营中主要使用的</w:t>
      </w:r>
      <w:r w:rsidRPr="00076E65">
        <w:rPr>
          <w:rFonts w:asciiTheme="minorEastAsia" w:eastAsiaTheme="minorEastAsia" w:hAnsiTheme="minorEastAsia" w:hint="eastAsia"/>
          <w:kern w:val="0"/>
          <w:sz w:val="24"/>
          <w:szCs w:val="24"/>
        </w:rPr>
        <w:t>棉花</w:t>
      </w:r>
      <w:r w:rsidRPr="00076E65">
        <w:rPr>
          <w:rFonts w:asciiTheme="minorEastAsia" w:eastAsiaTheme="minorEastAsia" w:hAnsiTheme="minorEastAsia"/>
          <w:kern w:val="0"/>
          <w:sz w:val="24"/>
          <w:szCs w:val="24"/>
        </w:rPr>
        <w:t>原材料</w:t>
      </w:r>
      <w:r w:rsidRPr="00076E65">
        <w:rPr>
          <w:rFonts w:asciiTheme="minorEastAsia" w:eastAsiaTheme="minorEastAsia" w:hAnsiTheme="minorEastAsia" w:hint="eastAsia"/>
          <w:kern w:val="0"/>
          <w:sz w:val="24"/>
          <w:szCs w:val="24"/>
        </w:rPr>
        <w:t>和棉纱</w:t>
      </w:r>
      <w:r w:rsidRPr="00076E65">
        <w:rPr>
          <w:rFonts w:asciiTheme="minorEastAsia" w:eastAsiaTheme="minorEastAsia" w:hAnsiTheme="minorEastAsia"/>
          <w:kern w:val="0"/>
          <w:sz w:val="24"/>
          <w:szCs w:val="24"/>
        </w:rPr>
        <w:t>，参与上述品种的期货</w:t>
      </w:r>
      <w:r w:rsidRPr="00076E65">
        <w:rPr>
          <w:rFonts w:asciiTheme="minorEastAsia" w:eastAsiaTheme="minorEastAsia" w:hAnsiTheme="minorEastAsia"/>
          <w:kern w:val="0"/>
          <w:sz w:val="24"/>
          <w:szCs w:val="24"/>
        </w:rPr>
        <w:t>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是</w:t>
      </w:r>
      <w:r w:rsidRPr="00076E65">
        <w:rPr>
          <w:rFonts w:asciiTheme="minorEastAsia" w:eastAsiaTheme="minorEastAsia" w:hAnsiTheme="minorEastAsia" w:hint="eastAsia"/>
          <w:kern w:val="0"/>
          <w:sz w:val="24"/>
          <w:szCs w:val="24"/>
        </w:rPr>
        <w:t>以</w:t>
      </w:r>
      <w:r w:rsidRPr="00076E65">
        <w:rPr>
          <w:rFonts w:asciiTheme="minorEastAsia" w:eastAsiaTheme="minorEastAsia" w:hAnsiTheme="minorEastAsia"/>
          <w:sz w:val="24"/>
          <w:szCs w:val="24"/>
        </w:rPr>
        <w:t>规避生产经营中原材料价格波动所带来的风险为目的，不进行投机和套利交易</w:t>
      </w:r>
      <w:r w:rsidRPr="00076E65">
        <w:rPr>
          <w:rFonts w:asciiTheme="minorEastAsia" w:eastAsiaTheme="minorEastAsia" w:hAnsiTheme="minorEastAsia"/>
          <w:kern w:val="0"/>
          <w:sz w:val="24"/>
          <w:szCs w:val="24"/>
        </w:rPr>
        <w:t>。公司参与期货市场交易，与现货市场交易相结合，将有效拓宽采购渠道，</w:t>
      </w:r>
      <w:r w:rsidRPr="00076E65">
        <w:rPr>
          <w:rFonts w:asciiTheme="minorEastAsia" w:eastAsiaTheme="minorEastAsia" w:hAnsiTheme="minorEastAsia"/>
          <w:sz w:val="24"/>
          <w:szCs w:val="24"/>
        </w:rPr>
        <w:t>锁定原材料成本</w:t>
      </w:r>
      <w:r w:rsidRPr="00076E65">
        <w:rPr>
          <w:rFonts w:asciiTheme="minorEastAsia" w:eastAsiaTheme="minorEastAsia" w:hAnsiTheme="minorEastAsia" w:hint="eastAsia"/>
          <w:sz w:val="24"/>
          <w:szCs w:val="24"/>
        </w:rPr>
        <w:t>,</w:t>
      </w:r>
      <w:r w:rsidRPr="00076E65">
        <w:rPr>
          <w:rFonts w:asciiTheme="minorEastAsia" w:eastAsiaTheme="minorEastAsia" w:hAnsiTheme="minorEastAsia"/>
          <w:kern w:val="0"/>
          <w:sz w:val="24"/>
          <w:szCs w:val="24"/>
        </w:rPr>
        <w:t>有利于公司规避棉花价格波动的风险，保持</w:t>
      </w:r>
      <w:r w:rsidRPr="00076E65">
        <w:rPr>
          <w:rFonts w:asciiTheme="minorEastAsia" w:eastAsiaTheme="minorEastAsia" w:hAnsiTheme="minorEastAsia"/>
          <w:sz w:val="24"/>
          <w:szCs w:val="24"/>
        </w:rPr>
        <w:t>公司经营业绩的稳定性和</w:t>
      </w:r>
      <w:proofErr w:type="gramStart"/>
      <w:r w:rsidRPr="00076E65">
        <w:rPr>
          <w:rFonts w:asciiTheme="minorEastAsia" w:eastAsiaTheme="minorEastAsia" w:hAnsiTheme="minorEastAsia"/>
          <w:sz w:val="24"/>
          <w:szCs w:val="24"/>
        </w:rPr>
        <w:t>可</w:t>
      </w:r>
      <w:proofErr w:type="gramEnd"/>
      <w:r w:rsidRPr="00076E65">
        <w:rPr>
          <w:rFonts w:asciiTheme="minorEastAsia" w:eastAsiaTheme="minorEastAsia" w:hAnsiTheme="minorEastAsia"/>
          <w:sz w:val="24"/>
          <w:szCs w:val="24"/>
        </w:rPr>
        <w:t>持续性。公司将严格按照</w:t>
      </w:r>
      <w:r w:rsidRPr="00076E65">
        <w:rPr>
          <w:rFonts w:asciiTheme="minorEastAsia" w:eastAsiaTheme="minorEastAsia" w:hAnsiTheme="minorEastAsia" w:hint="eastAsia"/>
          <w:kern w:val="0"/>
          <w:sz w:val="24"/>
          <w:szCs w:val="24"/>
        </w:rPr>
        <w:t>《深圳证券交易所上市公司自律监管指引第</w:t>
      </w:r>
      <w:r w:rsidRPr="00076E65">
        <w:rPr>
          <w:rFonts w:asciiTheme="minorEastAsia" w:eastAsiaTheme="minorEastAsia" w:hAnsiTheme="minorEastAsia" w:hint="eastAsia"/>
          <w:kern w:val="0"/>
          <w:sz w:val="24"/>
          <w:szCs w:val="24"/>
        </w:rPr>
        <w:t>7</w:t>
      </w:r>
      <w:r w:rsidRPr="00076E65">
        <w:rPr>
          <w:rFonts w:asciiTheme="minorEastAsia" w:eastAsiaTheme="minorEastAsia" w:hAnsiTheme="minorEastAsia" w:hint="eastAsia"/>
          <w:kern w:val="0"/>
          <w:sz w:val="24"/>
          <w:szCs w:val="24"/>
        </w:rPr>
        <w:t>号——交易与关联交易》</w:t>
      </w:r>
      <w:r w:rsidRPr="00076E65">
        <w:rPr>
          <w:rFonts w:asciiTheme="minorEastAsia" w:eastAsiaTheme="minorEastAsia" w:hAnsiTheme="minorEastAsia"/>
          <w:sz w:val="24"/>
          <w:szCs w:val="24"/>
        </w:rPr>
        <w:t>和公司</w:t>
      </w:r>
      <w:r w:rsidRPr="00076E65">
        <w:rPr>
          <w:rFonts w:asciiTheme="minorEastAsia" w:eastAsiaTheme="minorEastAsia" w:hAnsiTheme="minorEastAsia" w:hint="eastAsia"/>
          <w:sz w:val="24"/>
          <w:szCs w:val="24"/>
        </w:rPr>
        <w:t>《对外投资管理制度》</w:t>
      </w:r>
      <w:r w:rsidRPr="00076E65">
        <w:rPr>
          <w:rFonts w:asciiTheme="minorEastAsia" w:eastAsiaTheme="minorEastAsia" w:hAnsiTheme="minorEastAsia"/>
          <w:sz w:val="24"/>
          <w:szCs w:val="24"/>
        </w:rPr>
        <w:t>的要求，落实风险防范措施，审慎操作。</w:t>
      </w:r>
    </w:p>
    <w:p w:rsidR="00565C59" w:rsidRPr="00076E65" w:rsidRDefault="00076E65">
      <w:pPr>
        <w:widowControl/>
        <w:spacing w:line="500" w:lineRule="exact"/>
        <w:ind w:firstLineChars="200" w:firstLine="480"/>
        <w:rPr>
          <w:rFonts w:asciiTheme="minorEastAsia" w:eastAsiaTheme="minorEastAsia" w:hAnsiTheme="minorEastAsia"/>
          <w:sz w:val="24"/>
          <w:szCs w:val="24"/>
        </w:rPr>
      </w:pPr>
      <w:r w:rsidRPr="00076E65">
        <w:rPr>
          <w:rFonts w:asciiTheme="minorEastAsia" w:eastAsiaTheme="minorEastAsia" w:hAnsiTheme="minorEastAsia"/>
          <w:sz w:val="24"/>
          <w:szCs w:val="24"/>
        </w:rPr>
        <w:t>综上所述，公司开展商品期货套期保值业务是切实可行的，对公司的生产经营是有利的</w:t>
      </w:r>
      <w:r w:rsidRPr="00076E65">
        <w:rPr>
          <w:rFonts w:asciiTheme="minorEastAsia" w:eastAsiaTheme="minorEastAsia" w:hAnsiTheme="minorEastAsia" w:hint="eastAsia"/>
          <w:sz w:val="24"/>
          <w:szCs w:val="24"/>
        </w:rPr>
        <w:t>，不会损害公司及公司股东的利益。</w:t>
      </w:r>
    </w:p>
    <w:p w:rsidR="00565C59" w:rsidRPr="00076E65" w:rsidRDefault="00076E65">
      <w:pPr>
        <w:pStyle w:val="a6"/>
        <w:widowControl/>
        <w:spacing w:line="500" w:lineRule="exact"/>
        <w:ind w:firstLineChars="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lastRenderedPageBreak/>
        <w:t>三、公司参与期货套</w:t>
      </w:r>
      <w:proofErr w:type="gramStart"/>
      <w:r w:rsidRPr="00076E65">
        <w:rPr>
          <w:rFonts w:asciiTheme="minorEastAsia" w:eastAsiaTheme="minorEastAsia" w:hAnsiTheme="minorEastAsia"/>
          <w:b/>
          <w:kern w:val="0"/>
          <w:sz w:val="24"/>
          <w:szCs w:val="24"/>
        </w:rPr>
        <w:t>保交易</w:t>
      </w:r>
      <w:proofErr w:type="gramEnd"/>
      <w:r w:rsidRPr="00076E65">
        <w:rPr>
          <w:rFonts w:asciiTheme="minorEastAsia" w:eastAsiaTheme="minorEastAsia" w:hAnsiTheme="minorEastAsia"/>
          <w:b/>
          <w:kern w:val="0"/>
          <w:sz w:val="24"/>
          <w:szCs w:val="24"/>
        </w:rPr>
        <w:t>的准备</w:t>
      </w:r>
      <w:r w:rsidRPr="00076E65">
        <w:rPr>
          <w:rFonts w:asciiTheme="minorEastAsia" w:eastAsiaTheme="minorEastAsia" w:hAnsiTheme="minorEastAsia"/>
          <w:b/>
          <w:kern w:val="0"/>
          <w:sz w:val="24"/>
          <w:szCs w:val="24"/>
        </w:rPr>
        <w:t>情况</w:t>
      </w:r>
    </w:p>
    <w:p w:rsidR="00565C59" w:rsidRPr="00076E65" w:rsidRDefault="00076E65">
      <w:pPr>
        <w:adjustRightInd w:val="0"/>
        <w:snapToGrid w:val="0"/>
        <w:spacing w:line="500" w:lineRule="exact"/>
        <w:ind w:firstLineChars="200" w:firstLine="480"/>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公司已根据</w:t>
      </w:r>
      <w:r w:rsidRPr="00076E65">
        <w:rPr>
          <w:rFonts w:asciiTheme="minorEastAsia" w:eastAsiaTheme="minorEastAsia" w:hAnsiTheme="minorEastAsia" w:hint="eastAsia"/>
          <w:kern w:val="0"/>
          <w:sz w:val="24"/>
          <w:szCs w:val="24"/>
        </w:rPr>
        <w:t>《深圳证券交易所上市公司自律监管指引第</w:t>
      </w:r>
      <w:r w:rsidRPr="00076E65">
        <w:rPr>
          <w:rFonts w:asciiTheme="minorEastAsia" w:eastAsiaTheme="minorEastAsia" w:hAnsiTheme="minorEastAsia" w:hint="eastAsia"/>
          <w:kern w:val="0"/>
          <w:sz w:val="24"/>
          <w:szCs w:val="24"/>
        </w:rPr>
        <w:t>7</w:t>
      </w:r>
      <w:r w:rsidRPr="00076E65">
        <w:rPr>
          <w:rFonts w:asciiTheme="minorEastAsia" w:eastAsiaTheme="minorEastAsia" w:hAnsiTheme="minorEastAsia" w:hint="eastAsia"/>
          <w:kern w:val="0"/>
          <w:sz w:val="24"/>
          <w:szCs w:val="24"/>
        </w:rPr>
        <w:t>号——交易与关联交易》及公司</w:t>
      </w:r>
      <w:r w:rsidRPr="00076E65">
        <w:rPr>
          <w:rFonts w:asciiTheme="minorEastAsia" w:eastAsiaTheme="minorEastAsia" w:hAnsiTheme="minorEastAsia"/>
          <w:kern w:val="0"/>
          <w:sz w:val="24"/>
          <w:szCs w:val="24"/>
        </w:rPr>
        <w:t>《</w:t>
      </w:r>
      <w:r w:rsidRPr="00076E65">
        <w:rPr>
          <w:rFonts w:asciiTheme="minorEastAsia" w:eastAsiaTheme="minorEastAsia" w:hAnsiTheme="minorEastAsia" w:hint="eastAsia"/>
          <w:kern w:val="0"/>
          <w:sz w:val="24"/>
          <w:szCs w:val="24"/>
        </w:rPr>
        <w:t>对外投资管理制度</w:t>
      </w:r>
      <w:r w:rsidRPr="00076E65">
        <w:rPr>
          <w:rFonts w:asciiTheme="minorEastAsia" w:eastAsiaTheme="minorEastAsia" w:hAnsiTheme="minorEastAsia"/>
          <w:kern w:val="0"/>
          <w:sz w:val="24"/>
          <w:szCs w:val="24"/>
        </w:rPr>
        <w:t>》，对期货套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的组织机构、授权制度、交易计划、交易管理、档案管理、保密制度、信息披露和会计政策等</w:t>
      </w:r>
      <w:proofErr w:type="gramStart"/>
      <w:r w:rsidRPr="00076E65">
        <w:rPr>
          <w:rFonts w:asciiTheme="minorEastAsia" w:eastAsiaTheme="minorEastAsia" w:hAnsiTheme="minorEastAsia"/>
          <w:kern w:val="0"/>
          <w:sz w:val="24"/>
          <w:szCs w:val="24"/>
        </w:rPr>
        <w:t>作出</w:t>
      </w:r>
      <w:proofErr w:type="gramEnd"/>
      <w:r w:rsidRPr="00076E65">
        <w:rPr>
          <w:rFonts w:asciiTheme="minorEastAsia" w:eastAsiaTheme="minorEastAsia" w:hAnsiTheme="minorEastAsia"/>
          <w:kern w:val="0"/>
          <w:sz w:val="24"/>
          <w:szCs w:val="24"/>
        </w:rPr>
        <w:t>了规定。参与期货套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的人员均为专业人士，充分理解拟交易</w:t>
      </w:r>
      <w:r w:rsidRPr="00076E65">
        <w:rPr>
          <w:rFonts w:asciiTheme="minorEastAsia" w:eastAsiaTheme="minorEastAsia" w:hAnsiTheme="minorEastAsia" w:hint="eastAsia"/>
          <w:kern w:val="0"/>
          <w:sz w:val="24"/>
          <w:szCs w:val="24"/>
        </w:rPr>
        <w:t>期货品种</w:t>
      </w:r>
      <w:r w:rsidRPr="00076E65">
        <w:rPr>
          <w:rFonts w:asciiTheme="minorEastAsia" w:eastAsiaTheme="minorEastAsia" w:hAnsiTheme="minorEastAsia"/>
          <w:kern w:val="0"/>
          <w:sz w:val="24"/>
          <w:szCs w:val="24"/>
        </w:rPr>
        <w:t>的特点及风险。</w:t>
      </w:r>
    </w:p>
    <w:p w:rsidR="00565C59" w:rsidRPr="00076E65" w:rsidRDefault="00076E65">
      <w:pPr>
        <w:widowControl/>
        <w:spacing w:line="500" w:lineRule="exact"/>
        <w:ind w:firstLine="42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t>四、期货套</w:t>
      </w:r>
      <w:proofErr w:type="gramStart"/>
      <w:r w:rsidRPr="00076E65">
        <w:rPr>
          <w:rFonts w:asciiTheme="minorEastAsia" w:eastAsiaTheme="minorEastAsia" w:hAnsiTheme="minorEastAsia"/>
          <w:b/>
          <w:kern w:val="0"/>
          <w:sz w:val="24"/>
          <w:szCs w:val="24"/>
        </w:rPr>
        <w:t>保交易</w:t>
      </w:r>
      <w:proofErr w:type="gramEnd"/>
      <w:r w:rsidRPr="00076E65">
        <w:rPr>
          <w:rFonts w:asciiTheme="minorEastAsia" w:eastAsiaTheme="minorEastAsia" w:hAnsiTheme="minorEastAsia"/>
          <w:b/>
          <w:kern w:val="0"/>
          <w:sz w:val="24"/>
          <w:szCs w:val="24"/>
        </w:rPr>
        <w:t>的风险分析</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（一）</w:t>
      </w:r>
      <w:r w:rsidRPr="00076E65">
        <w:rPr>
          <w:rFonts w:asciiTheme="minorEastAsia" w:eastAsiaTheme="minorEastAsia" w:hAnsiTheme="minorEastAsia"/>
          <w:kern w:val="0"/>
          <w:sz w:val="24"/>
          <w:szCs w:val="24"/>
        </w:rPr>
        <w:t>法律风险</w:t>
      </w:r>
      <w:r w:rsidRPr="00076E65">
        <w:rPr>
          <w:rFonts w:asciiTheme="minorEastAsia" w:eastAsiaTheme="minorEastAsia" w:hAnsiTheme="minorEastAsia" w:hint="eastAsia"/>
          <w:kern w:val="0"/>
          <w:sz w:val="24"/>
          <w:szCs w:val="24"/>
        </w:rPr>
        <w:t>：</w:t>
      </w:r>
      <w:r w:rsidRPr="00076E65">
        <w:rPr>
          <w:rFonts w:asciiTheme="minorEastAsia" w:eastAsiaTheme="minorEastAsia" w:hAnsiTheme="minorEastAsia"/>
          <w:kern w:val="0"/>
          <w:sz w:val="24"/>
          <w:szCs w:val="24"/>
        </w:rPr>
        <w:t>因相关法律制度发生重大变化可能造成合约无法正常执行而给公司带来损失。如果公司选择的期货公司在交易过程中存在违法违规经营行为，也可能给公司带来损失。</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（二）</w:t>
      </w:r>
      <w:r w:rsidRPr="00076E65">
        <w:rPr>
          <w:rFonts w:asciiTheme="minorEastAsia" w:eastAsiaTheme="minorEastAsia" w:hAnsiTheme="minorEastAsia"/>
          <w:kern w:val="0"/>
          <w:sz w:val="24"/>
          <w:szCs w:val="24"/>
        </w:rPr>
        <w:t>市场风险</w:t>
      </w:r>
      <w:r w:rsidRPr="00076E65">
        <w:rPr>
          <w:rFonts w:asciiTheme="minorEastAsia" w:eastAsiaTheme="minorEastAsia" w:hAnsiTheme="minorEastAsia" w:hint="eastAsia"/>
          <w:kern w:val="0"/>
          <w:sz w:val="24"/>
          <w:szCs w:val="24"/>
        </w:rPr>
        <w:t>：</w:t>
      </w:r>
      <w:r w:rsidRPr="00076E65">
        <w:rPr>
          <w:rFonts w:asciiTheme="minorEastAsia" w:eastAsiaTheme="minorEastAsia" w:hAnsiTheme="minorEastAsia"/>
          <w:kern w:val="0"/>
          <w:sz w:val="24"/>
          <w:szCs w:val="24"/>
        </w:rPr>
        <w:t>由于保证金交易具有杠杆性，当出现不利行情时，价格微小的变动就可能会使公司权益遭受损失。</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（三）</w:t>
      </w:r>
      <w:r w:rsidRPr="00076E65">
        <w:rPr>
          <w:rFonts w:asciiTheme="minorEastAsia" w:eastAsiaTheme="minorEastAsia" w:hAnsiTheme="minorEastAsia"/>
          <w:kern w:val="0"/>
          <w:sz w:val="24"/>
          <w:szCs w:val="24"/>
        </w:rPr>
        <w:t>操作风险</w:t>
      </w:r>
      <w:r w:rsidRPr="00076E65">
        <w:rPr>
          <w:rFonts w:asciiTheme="minorEastAsia" w:eastAsiaTheme="minorEastAsia" w:hAnsiTheme="minorEastAsia" w:hint="eastAsia"/>
          <w:kern w:val="0"/>
          <w:sz w:val="24"/>
          <w:szCs w:val="24"/>
        </w:rPr>
        <w:t>：</w:t>
      </w:r>
      <w:r w:rsidRPr="00076E65">
        <w:rPr>
          <w:rFonts w:asciiTheme="minorEastAsia" w:eastAsiaTheme="minorEastAsia" w:hAnsiTheme="minorEastAsia"/>
          <w:kern w:val="0"/>
          <w:sz w:val="24"/>
          <w:szCs w:val="24"/>
        </w:rPr>
        <w:t>行情系统、下单系统等可能出现技术故障，导致无法获得行情或无法下单</w:t>
      </w:r>
      <w:r w:rsidRPr="00076E65">
        <w:rPr>
          <w:rFonts w:asciiTheme="minorEastAsia" w:eastAsiaTheme="minorEastAsia" w:hAnsiTheme="minorEastAsia" w:hint="eastAsia"/>
          <w:kern w:val="0"/>
          <w:sz w:val="24"/>
          <w:szCs w:val="24"/>
        </w:rPr>
        <w:t>；</w:t>
      </w:r>
      <w:r w:rsidRPr="00076E65">
        <w:rPr>
          <w:rFonts w:asciiTheme="minorEastAsia" w:eastAsiaTheme="minorEastAsia" w:hAnsiTheme="minorEastAsia"/>
          <w:kern w:val="0"/>
          <w:sz w:val="24"/>
          <w:szCs w:val="24"/>
        </w:rPr>
        <w:t>或者由于操作人员出现操作失误，都可能会造成损失。</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（四）</w:t>
      </w:r>
      <w:r w:rsidRPr="00076E65">
        <w:rPr>
          <w:rFonts w:asciiTheme="minorEastAsia" w:eastAsiaTheme="minorEastAsia" w:hAnsiTheme="minorEastAsia"/>
          <w:kern w:val="0"/>
          <w:sz w:val="24"/>
          <w:szCs w:val="24"/>
        </w:rPr>
        <w:t>流动性风险</w:t>
      </w:r>
      <w:r w:rsidRPr="00076E65">
        <w:rPr>
          <w:rFonts w:asciiTheme="minorEastAsia" w:eastAsiaTheme="minorEastAsia" w:hAnsiTheme="minorEastAsia" w:hint="eastAsia"/>
          <w:kern w:val="0"/>
          <w:sz w:val="24"/>
          <w:szCs w:val="24"/>
        </w:rPr>
        <w:t>：</w:t>
      </w:r>
      <w:r w:rsidRPr="00076E65">
        <w:rPr>
          <w:rFonts w:asciiTheme="minorEastAsia" w:eastAsiaTheme="minorEastAsia" w:hAnsiTheme="minorEastAsia"/>
          <w:kern w:val="0"/>
          <w:sz w:val="24"/>
          <w:szCs w:val="24"/>
        </w:rPr>
        <w:t>当公司无法及时补足保证金时，可能会被强制平仓而遭受损失。</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（五）</w:t>
      </w:r>
      <w:r w:rsidRPr="00076E65">
        <w:rPr>
          <w:rFonts w:asciiTheme="minorEastAsia" w:eastAsiaTheme="minorEastAsia" w:hAnsiTheme="minorEastAsia"/>
          <w:kern w:val="0"/>
          <w:sz w:val="24"/>
          <w:szCs w:val="24"/>
        </w:rPr>
        <w:t>信用风险</w:t>
      </w:r>
      <w:r w:rsidRPr="00076E65">
        <w:rPr>
          <w:rFonts w:asciiTheme="minorEastAsia" w:eastAsiaTheme="minorEastAsia" w:hAnsiTheme="minorEastAsia" w:hint="eastAsia"/>
          <w:kern w:val="0"/>
          <w:sz w:val="24"/>
          <w:szCs w:val="24"/>
        </w:rPr>
        <w:t>：</w:t>
      </w:r>
      <w:r w:rsidRPr="00076E65">
        <w:rPr>
          <w:rFonts w:asciiTheme="minorEastAsia" w:eastAsiaTheme="minorEastAsia" w:hAnsiTheme="minorEastAsia"/>
          <w:kern w:val="0"/>
          <w:sz w:val="24"/>
          <w:szCs w:val="24"/>
        </w:rPr>
        <w:t>交易价格出现对交易对方不利的大幅度波动时，交易对方可能违反合同的相关规定，取消合同，造成公司损失。</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t>五、风险管理策略的说明</w:t>
      </w:r>
    </w:p>
    <w:p w:rsidR="00565C59" w:rsidRPr="00076E65" w:rsidRDefault="00076E65">
      <w:pPr>
        <w:widowControl/>
        <w:spacing w:line="500" w:lineRule="exact"/>
        <w:ind w:firstLineChars="200" w:firstLine="480"/>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公司参与期货套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是为了开拓采购和销售渠道，规避价格波动带来的风险。</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公司将严格按照</w:t>
      </w:r>
      <w:r w:rsidRPr="00076E65">
        <w:rPr>
          <w:rFonts w:asciiTheme="minorEastAsia" w:eastAsiaTheme="minorEastAsia" w:hAnsiTheme="minorEastAsia" w:hint="eastAsia"/>
          <w:kern w:val="0"/>
          <w:sz w:val="24"/>
          <w:szCs w:val="24"/>
        </w:rPr>
        <w:t>公司</w:t>
      </w:r>
      <w:r w:rsidRPr="00076E65">
        <w:rPr>
          <w:rFonts w:asciiTheme="minorEastAsia" w:eastAsiaTheme="minorEastAsia" w:hAnsiTheme="minorEastAsia"/>
          <w:kern w:val="0"/>
          <w:sz w:val="24"/>
          <w:szCs w:val="24"/>
        </w:rPr>
        <w:t>《</w:t>
      </w:r>
      <w:r w:rsidRPr="00076E65">
        <w:rPr>
          <w:rFonts w:asciiTheme="minorEastAsia" w:eastAsiaTheme="minorEastAsia" w:hAnsiTheme="minorEastAsia" w:hint="eastAsia"/>
          <w:kern w:val="0"/>
          <w:sz w:val="24"/>
          <w:szCs w:val="24"/>
        </w:rPr>
        <w:t>对外投资管理制度</w:t>
      </w:r>
      <w:r w:rsidRPr="00076E65">
        <w:rPr>
          <w:rFonts w:asciiTheme="minorEastAsia" w:eastAsiaTheme="minorEastAsia" w:hAnsiTheme="minorEastAsia"/>
          <w:kern w:val="0"/>
          <w:sz w:val="24"/>
          <w:szCs w:val="24"/>
        </w:rPr>
        <w:t>》的规定来安排计划、审批、指令下达、操作、稽查、审计等环节并进行相应的风险控制和管理。</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t>六、期货公允价值分析</w:t>
      </w:r>
    </w:p>
    <w:p w:rsidR="00565C59" w:rsidRPr="00076E65" w:rsidRDefault="00076E65">
      <w:pPr>
        <w:widowControl/>
        <w:spacing w:line="500" w:lineRule="exact"/>
        <w:ind w:firstLineChars="200" w:firstLine="480"/>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公司期货套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品种均在场内的郑州商品期货交易所和纽约商品交易所</w:t>
      </w:r>
      <w:r w:rsidRPr="00076E65">
        <w:rPr>
          <w:rFonts w:asciiTheme="minorEastAsia" w:eastAsiaTheme="minorEastAsia" w:hAnsiTheme="minorEastAsia" w:hint="eastAsia"/>
          <w:kern w:val="0"/>
          <w:sz w:val="24"/>
          <w:szCs w:val="24"/>
        </w:rPr>
        <w:t>等</w:t>
      </w:r>
      <w:r w:rsidRPr="00076E65">
        <w:rPr>
          <w:rFonts w:asciiTheme="minorEastAsia" w:eastAsiaTheme="minorEastAsia" w:hAnsiTheme="minorEastAsia"/>
          <w:kern w:val="0"/>
          <w:sz w:val="24"/>
          <w:szCs w:val="24"/>
        </w:rPr>
        <w:t>交易，市场透明度大，成交活跃，成交价格和当日结算单价能充分反映衍生品的公允价值。</w:t>
      </w:r>
      <w:r w:rsidRPr="00076E65">
        <w:rPr>
          <w:rFonts w:asciiTheme="minorEastAsia" w:eastAsiaTheme="minorEastAsia" w:hAnsiTheme="minorEastAsia"/>
          <w:kern w:val="0"/>
          <w:sz w:val="24"/>
          <w:szCs w:val="24"/>
        </w:rPr>
        <w:t xml:space="preserve"> </w:t>
      </w:r>
    </w:p>
    <w:p w:rsidR="00565C59" w:rsidRPr="00076E65" w:rsidRDefault="00076E65">
      <w:pPr>
        <w:widowControl/>
        <w:spacing w:line="500" w:lineRule="exact"/>
        <w:ind w:firstLine="420"/>
        <w:jc w:val="left"/>
        <w:rPr>
          <w:rFonts w:asciiTheme="minorEastAsia" w:eastAsiaTheme="minorEastAsia" w:hAnsiTheme="minorEastAsia"/>
          <w:b/>
          <w:kern w:val="0"/>
          <w:sz w:val="24"/>
          <w:szCs w:val="24"/>
        </w:rPr>
      </w:pPr>
      <w:r w:rsidRPr="00076E65">
        <w:rPr>
          <w:rFonts w:asciiTheme="minorEastAsia" w:eastAsiaTheme="minorEastAsia" w:hAnsiTheme="minorEastAsia"/>
          <w:b/>
          <w:kern w:val="0"/>
          <w:sz w:val="24"/>
          <w:szCs w:val="24"/>
        </w:rPr>
        <w:t>七、会计政策及核算原则</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lastRenderedPageBreak/>
        <w:t>公司期货套</w:t>
      </w:r>
      <w:proofErr w:type="gramStart"/>
      <w:r w:rsidRPr="00076E65">
        <w:rPr>
          <w:rFonts w:asciiTheme="minorEastAsia" w:eastAsiaTheme="minorEastAsia" w:hAnsiTheme="minorEastAsia"/>
          <w:kern w:val="0"/>
          <w:sz w:val="24"/>
          <w:szCs w:val="24"/>
        </w:rPr>
        <w:t>保交易</w:t>
      </w:r>
      <w:proofErr w:type="gramEnd"/>
      <w:r w:rsidRPr="00076E65">
        <w:rPr>
          <w:rFonts w:asciiTheme="minorEastAsia" w:eastAsiaTheme="minorEastAsia" w:hAnsiTheme="minorEastAsia"/>
          <w:kern w:val="0"/>
          <w:sz w:val="24"/>
          <w:szCs w:val="24"/>
        </w:rPr>
        <w:t>相关会计政策及核算原则按照中华人民共和国财政部发布的《企业会计准则》及相关规定执行。</w:t>
      </w:r>
    </w:p>
    <w:p w:rsidR="00565C59" w:rsidRPr="00076E65" w:rsidRDefault="00076E65">
      <w:pPr>
        <w:widowControl/>
        <w:spacing w:line="500" w:lineRule="exact"/>
        <w:ind w:leftChars="171" w:left="359" w:firstLineChars="25" w:firstLine="60"/>
        <w:jc w:val="left"/>
        <w:rPr>
          <w:rFonts w:asciiTheme="minorEastAsia" w:eastAsiaTheme="minorEastAsia" w:hAnsiTheme="minorEastAsia"/>
          <w:b/>
          <w:kern w:val="0"/>
          <w:sz w:val="24"/>
          <w:szCs w:val="24"/>
        </w:rPr>
      </w:pPr>
      <w:r w:rsidRPr="00076E65">
        <w:rPr>
          <w:rFonts w:asciiTheme="minorEastAsia" w:eastAsiaTheme="minorEastAsia" w:hAnsiTheme="minorEastAsia" w:hint="eastAsia"/>
          <w:b/>
          <w:kern w:val="0"/>
          <w:sz w:val="24"/>
          <w:szCs w:val="24"/>
        </w:rPr>
        <w:t>八、审议程序</w:t>
      </w:r>
    </w:p>
    <w:p w:rsidR="00565C59" w:rsidRPr="00076E65" w:rsidRDefault="00076E65">
      <w:pPr>
        <w:widowControl/>
        <w:spacing w:line="500" w:lineRule="exact"/>
        <w:ind w:firstLine="420"/>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公</w:t>
      </w:r>
      <w:r w:rsidRPr="00076E65">
        <w:rPr>
          <w:rFonts w:asciiTheme="minorEastAsia" w:eastAsiaTheme="minorEastAsia" w:hAnsiTheme="minorEastAsia" w:hint="eastAsia"/>
          <w:kern w:val="0"/>
          <w:sz w:val="24"/>
          <w:szCs w:val="24"/>
        </w:rPr>
        <w:t>司于</w:t>
      </w:r>
      <w:r w:rsidRPr="00076E65">
        <w:rPr>
          <w:rFonts w:asciiTheme="minorEastAsia" w:eastAsiaTheme="minorEastAsia" w:hAnsiTheme="minorEastAsia" w:hint="eastAsia"/>
          <w:kern w:val="0"/>
          <w:sz w:val="24"/>
          <w:szCs w:val="24"/>
        </w:rPr>
        <w:t>2024</w:t>
      </w:r>
      <w:r w:rsidRPr="00076E65">
        <w:rPr>
          <w:rFonts w:asciiTheme="minorEastAsia" w:eastAsiaTheme="minorEastAsia" w:hAnsiTheme="minorEastAsia" w:hint="eastAsia"/>
          <w:kern w:val="0"/>
          <w:sz w:val="24"/>
          <w:szCs w:val="24"/>
        </w:rPr>
        <w:t>年</w:t>
      </w:r>
      <w:r w:rsidRPr="00076E65">
        <w:rPr>
          <w:rFonts w:asciiTheme="minorEastAsia" w:eastAsiaTheme="minorEastAsia" w:hAnsiTheme="minorEastAsia" w:hint="eastAsia"/>
          <w:kern w:val="0"/>
          <w:sz w:val="24"/>
          <w:szCs w:val="24"/>
        </w:rPr>
        <w:t>4</w:t>
      </w:r>
      <w:r w:rsidRPr="00076E65">
        <w:rPr>
          <w:rFonts w:asciiTheme="minorEastAsia" w:eastAsiaTheme="minorEastAsia" w:hAnsiTheme="minorEastAsia" w:hint="eastAsia"/>
          <w:kern w:val="0"/>
          <w:sz w:val="24"/>
          <w:szCs w:val="24"/>
        </w:rPr>
        <w:t>月</w:t>
      </w:r>
      <w:r w:rsidRPr="00076E65">
        <w:rPr>
          <w:rFonts w:asciiTheme="minorEastAsia" w:eastAsiaTheme="minorEastAsia" w:hAnsiTheme="minorEastAsia" w:hint="eastAsia"/>
          <w:kern w:val="0"/>
          <w:sz w:val="24"/>
          <w:szCs w:val="24"/>
        </w:rPr>
        <w:t>25</w:t>
      </w:r>
      <w:r w:rsidRPr="00076E65">
        <w:rPr>
          <w:rFonts w:asciiTheme="minorEastAsia" w:eastAsiaTheme="minorEastAsia" w:hAnsiTheme="minorEastAsia" w:hint="eastAsia"/>
          <w:kern w:val="0"/>
          <w:sz w:val="24"/>
          <w:szCs w:val="24"/>
        </w:rPr>
        <w:t>日召开第八届董事会第七次会议和第八届监事会第二十一次会议，审议通过《</w:t>
      </w:r>
      <w:r w:rsidRPr="00076E65">
        <w:rPr>
          <w:rFonts w:asciiTheme="minorEastAsia" w:eastAsiaTheme="minorEastAsia" w:hAnsiTheme="minorEastAsia" w:hint="eastAsia"/>
          <w:kern w:val="0"/>
          <w:sz w:val="24"/>
          <w:szCs w:val="24"/>
        </w:rPr>
        <w:t>关于</w:t>
      </w:r>
      <w:r w:rsidRPr="00076E65">
        <w:rPr>
          <w:rFonts w:asciiTheme="minorEastAsia" w:eastAsiaTheme="minorEastAsia" w:hAnsiTheme="minorEastAsia" w:hint="eastAsia"/>
          <w:kern w:val="0"/>
          <w:sz w:val="24"/>
          <w:szCs w:val="24"/>
        </w:rPr>
        <w:t>预计</w:t>
      </w:r>
      <w:r w:rsidRPr="00076E65">
        <w:rPr>
          <w:rFonts w:asciiTheme="minorEastAsia" w:eastAsiaTheme="minorEastAsia" w:hAnsiTheme="minorEastAsia" w:hint="eastAsia"/>
          <w:kern w:val="0"/>
          <w:sz w:val="24"/>
          <w:szCs w:val="24"/>
        </w:rPr>
        <w:t>2024</w:t>
      </w:r>
      <w:r w:rsidRPr="00076E65">
        <w:rPr>
          <w:rFonts w:asciiTheme="minorEastAsia" w:eastAsiaTheme="minorEastAsia" w:hAnsiTheme="minorEastAsia" w:hint="eastAsia"/>
          <w:kern w:val="0"/>
          <w:sz w:val="24"/>
          <w:szCs w:val="24"/>
        </w:rPr>
        <w:t>年度参与期货套期保值交易事项的议案》，该事项尚需提交至公司股东大会审议，有效期为公司股东大会审议通过该事项之日起</w:t>
      </w:r>
      <w:r w:rsidRPr="00076E65">
        <w:rPr>
          <w:rFonts w:asciiTheme="minorEastAsia" w:eastAsiaTheme="minorEastAsia" w:hAnsiTheme="minorEastAsia" w:hint="eastAsia"/>
          <w:kern w:val="0"/>
          <w:sz w:val="24"/>
          <w:szCs w:val="24"/>
        </w:rPr>
        <w:t>12</w:t>
      </w:r>
      <w:r w:rsidRPr="00076E65">
        <w:rPr>
          <w:rFonts w:asciiTheme="minorEastAsia" w:eastAsiaTheme="minorEastAsia" w:hAnsiTheme="minorEastAsia" w:hint="eastAsia"/>
          <w:kern w:val="0"/>
          <w:sz w:val="24"/>
          <w:szCs w:val="24"/>
        </w:rPr>
        <w:t>个月。</w:t>
      </w:r>
    </w:p>
    <w:p w:rsidR="00565C59" w:rsidRPr="00076E65" w:rsidRDefault="00076E65">
      <w:pPr>
        <w:widowControl/>
        <w:spacing w:line="500" w:lineRule="exact"/>
        <w:ind w:firstLine="420"/>
        <w:jc w:val="left"/>
        <w:rPr>
          <w:rFonts w:asciiTheme="minorEastAsia" w:eastAsiaTheme="minorEastAsia" w:hAnsiTheme="minorEastAsia"/>
          <w:b/>
          <w:kern w:val="0"/>
          <w:sz w:val="24"/>
          <w:szCs w:val="24"/>
        </w:rPr>
      </w:pPr>
      <w:r w:rsidRPr="00076E65">
        <w:rPr>
          <w:rFonts w:asciiTheme="minorEastAsia" w:eastAsiaTheme="minorEastAsia" w:hAnsiTheme="minorEastAsia" w:hint="eastAsia"/>
          <w:b/>
          <w:kern w:val="0"/>
          <w:sz w:val="24"/>
          <w:szCs w:val="24"/>
        </w:rPr>
        <w:t>九、备查文件</w:t>
      </w:r>
    </w:p>
    <w:p w:rsidR="00565C59" w:rsidRPr="00076E65" w:rsidRDefault="00076E65">
      <w:pPr>
        <w:widowControl/>
        <w:spacing w:line="500" w:lineRule="exact"/>
        <w:ind w:firstLine="420"/>
        <w:jc w:val="left"/>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1</w:t>
      </w:r>
      <w:r w:rsidRPr="00076E65">
        <w:rPr>
          <w:rFonts w:asciiTheme="minorEastAsia" w:eastAsiaTheme="minorEastAsia" w:hAnsiTheme="minorEastAsia" w:hint="eastAsia"/>
          <w:kern w:val="0"/>
          <w:sz w:val="24"/>
          <w:szCs w:val="24"/>
        </w:rPr>
        <w:t>、公司第八届董事会第七次会议决议；</w:t>
      </w:r>
    </w:p>
    <w:p w:rsidR="00565C59" w:rsidRPr="00076E65" w:rsidRDefault="00076E65">
      <w:pPr>
        <w:widowControl/>
        <w:spacing w:line="500" w:lineRule="exact"/>
        <w:ind w:firstLine="420"/>
        <w:jc w:val="left"/>
        <w:rPr>
          <w:rFonts w:asciiTheme="minorEastAsia" w:eastAsiaTheme="minorEastAsia" w:hAnsiTheme="minorEastAsia"/>
          <w:kern w:val="0"/>
          <w:sz w:val="24"/>
          <w:szCs w:val="24"/>
        </w:rPr>
      </w:pPr>
      <w:r w:rsidRPr="00076E65">
        <w:rPr>
          <w:rFonts w:asciiTheme="minorEastAsia" w:eastAsiaTheme="minorEastAsia" w:hAnsiTheme="minorEastAsia" w:hint="eastAsia"/>
          <w:kern w:val="0"/>
          <w:sz w:val="24"/>
          <w:szCs w:val="24"/>
        </w:rPr>
        <w:t>2</w:t>
      </w:r>
      <w:r w:rsidRPr="00076E65">
        <w:rPr>
          <w:rFonts w:asciiTheme="minorEastAsia" w:eastAsiaTheme="minorEastAsia" w:hAnsiTheme="minorEastAsia" w:hint="eastAsia"/>
          <w:kern w:val="0"/>
          <w:sz w:val="24"/>
          <w:szCs w:val="24"/>
        </w:rPr>
        <w:t>、公司第八届监事会第二十一次会议决议；</w:t>
      </w:r>
    </w:p>
    <w:p w:rsidR="00565C59" w:rsidRPr="00076E65" w:rsidRDefault="00076E65">
      <w:pPr>
        <w:widowControl/>
        <w:spacing w:line="500" w:lineRule="exact"/>
        <w:ind w:firstLine="420"/>
        <w:jc w:val="left"/>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特此公告。</w:t>
      </w:r>
    </w:p>
    <w:p w:rsidR="00565C59" w:rsidRPr="00076E65" w:rsidRDefault="00076E65">
      <w:pPr>
        <w:widowControl/>
        <w:spacing w:line="500" w:lineRule="exact"/>
        <w:ind w:firstLine="420"/>
        <w:jc w:val="right"/>
        <w:rPr>
          <w:rFonts w:asciiTheme="minorEastAsia" w:eastAsiaTheme="minorEastAsia" w:hAnsiTheme="minorEastAsia"/>
          <w:kern w:val="0"/>
          <w:sz w:val="24"/>
          <w:szCs w:val="24"/>
        </w:rPr>
      </w:pPr>
      <w:r w:rsidRPr="00076E65">
        <w:rPr>
          <w:rFonts w:asciiTheme="minorEastAsia" w:eastAsiaTheme="minorEastAsia" w:hAnsiTheme="minorEastAsia"/>
          <w:kern w:val="0"/>
          <w:sz w:val="24"/>
          <w:szCs w:val="24"/>
        </w:rPr>
        <w:t>华孚时尚股份有限公司董事会</w:t>
      </w:r>
    </w:p>
    <w:p w:rsidR="00565C59" w:rsidRPr="00076E65" w:rsidRDefault="00076E65">
      <w:pPr>
        <w:widowControl/>
        <w:spacing w:line="500" w:lineRule="exact"/>
        <w:ind w:firstLine="420"/>
        <w:jc w:val="right"/>
        <w:rPr>
          <w:rFonts w:ascii="Times New Roman" w:hAnsi="Times New Roman"/>
          <w:sz w:val="24"/>
          <w:szCs w:val="24"/>
        </w:rPr>
      </w:pPr>
      <w:r w:rsidRPr="00076E65">
        <w:rPr>
          <w:rFonts w:asciiTheme="minorEastAsia" w:eastAsiaTheme="minorEastAsia" w:hAnsiTheme="minorEastAsia"/>
          <w:kern w:val="0"/>
          <w:sz w:val="24"/>
          <w:szCs w:val="24"/>
        </w:rPr>
        <w:t>二</w:t>
      </w:r>
      <w:r w:rsidRPr="00076E65">
        <w:rPr>
          <w:rFonts w:asciiTheme="minorEastAsia" w:eastAsiaTheme="minorEastAsia" w:hAnsiTheme="minorEastAsia" w:hint="eastAsia"/>
          <w:kern w:val="0"/>
          <w:sz w:val="24"/>
          <w:szCs w:val="24"/>
        </w:rPr>
        <w:t>〇二四年四月二十七</w:t>
      </w:r>
      <w:r w:rsidRPr="00076E65">
        <w:rPr>
          <w:rFonts w:asciiTheme="minorEastAsia" w:eastAsiaTheme="minorEastAsia" w:hAnsiTheme="minorEastAsia"/>
          <w:kern w:val="0"/>
          <w:sz w:val="24"/>
          <w:szCs w:val="24"/>
        </w:rPr>
        <w:t>日</w:t>
      </w:r>
    </w:p>
    <w:p w:rsidR="00565C59" w:rsidRPr="00076E65" w:rsidRDefault="00565C59"/>
    <w:sectPr w:rsidR="00565C59" w:rsidRPr="00076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65" w:rsidRDefault="00076E65" w:rsidP="00076E65">
      <w:r>
        <w:separator/>
      </w:r>
    </w:p>
  </w:endnote>
  <w:endnote w:type="continuationSeparator" w:id="0">
    <w:p w:rsidR="00076E65" w:rsidRDefault="00076E65" w:rsidP="0007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65" w:rsidRDefault="00076E65" w:rsidP="00076E65">
      <w:r>
        <w:separator/>
      </w:r>
    </w:p>
  </w:footnote>
  <w:footnote w:type="continuationSeparator" w:id="0">
    <w:p w:rsidR="00076E65" w:rsidRDefault="00076E65" w:rsidP="00076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F90336"/>
    <w:rsid w:val="00076E65"/>
    <w:rsid w:val="000A2BEB"/>
    <w:rsid w:val="000C2265"/>
    <w:rsid w:val="00110CA2"/>
    <w:rsid w:val="00144A90"/>
    <w:rsid w:val="00160828"/>
    <w:rsid w:val="00171561"/>
    <w:rsid w:val="001834CB"/>
    <w:rsid w:val="001C67FE"/>
    <w:rsid w:val="00213704"/>
    <w:rsid w:val="00255589"/>
    <w:rsid w:val="00273EBD"/>
    <w:rsid w:val="00287897"/>
    <w:rsid w:val="00287EF9"/>
    <w:rsid w:val="002960B6"/>
    <w:rsid w:val="003102B9"/>
    <w:rsid w:val="00316206"/>
    <w:rsid w:val="003465F0"/>
    <w:rsid w:val="00382B6E"/>
    <w:rsid w:val="003D0D93"/>
    <w:rsid w:val="003D10CF"/>
    <w:rsid w:val="003D1941"/>
    <w:rsid w:val="003E3AAF"/>
    <w:rsid w:val="00402F5F"/>
    <w:rsid w:val="004032CB"/>
    <w:rsid w:val="00431129"/>
    <w:rsid w:val="004311AF"/>
    <w:rsid w:val="004733ED"/>
    <w:rsid w:val="004974F6"/>
    <w:rsid w:val="004E7761"/>
    <w:rsid w:val="004F21C9"/>
    <w:rsid w:val="005370BF"/>
    <w:rsid w:val="00565C59"/>
    <w:rsid w:val="00583371"/>
    <w:rsid w:val="005A6AAE"/>
    <w:rsid w:val="005A6FFC"/>
    <w:rsid w:val="005A75C3"/>
    <w:rsid w:val="005B0A2A"/>
    <w:rsid w:val="005C6441"/>
    <w:rsid w:val="0060371E"/>
    <w:rsid w:val="00630782"/>
    <w:rsid w:val="00630EA9"/>
    <w:rsid w:val="00666BB4"/>
    <w:rsid w:val="00677B15"/>
    <w:rsid w:val="006822AB"/>
    <w:rsid w:val="00690F14"/>
    <w:rsid w:val="006A1254"/>
    <w:rsid w:val="006D64E6"/>
    <w:rsid w:val="00721AE5"/>
    <w:rsid w:val="00731BD0"/>
    <w:rsid w:val="00790C5F"/>
    <w:rsid w:val="00812AB7"/>
    <w:rsid w:val="00832685"/>
    <w:rsid w:val="00841BE8"/>
    <w:rsid w:val="00842F4D"/>
    <w:rsid w:val="00862A46"/>
    <w:rsid w:val="008C75BA"/>
    <w:rsid w:val="008E5C34"/>
    <w:rsid w:val="00961A85"/>
    <w:rsid w:val="009D0419"/>
    <w:rsid w:val="009E4829"/>
    <w:rsid w:val="009E7845"/>
    <w:rsid w:val="00A009F8"/>
    <w:rsid w:val="00A22881"/>
    <w:rsid w:val="00A23BEE"/>
    <w:rsid w:val="00A72AB7"/>
    <w:rsid w:val="00A8683C"/>
    <w:rsid w:val="00A8702E"/>
    <w:rsid w:val="00A90117"/>
    <w:rsid w:val="00A93B47"/>
    <w:rsid w:val="00AC591E"/>
    <w:rsid w:val="00AF3DA3"/>
    <w:rsid w:val="00B363DF"/>
    <w:rsid w:val="00B460EF"/>
    <w:rsid w:val="00B73A9F"/>
    <w:rsid w:val="00BC0C3E"/>
    <w:rsid w:val="00BE3696"/>
    <w:rsid w:val="00BE4724"/>
    <w:rsid w:val="00BF13AE"/>
    <w:rsid w:val="00C57071"/>
    <w:rsid w:val="00CE4076"/>
    <w:rsid w:val="00CF0030"/>
    <w:rsid w:val="00D01275"/>
    <w:rsid w:val="00D648AB"/>
    <w:rsid w:val="00D67325"/>
    <w:rsid w:val="00D851B2"/>
    <w:rsid w:val="00DA360D"/>
    <w:rsid w:val="00DD71CB"/>
    <w:rsid w:val="00E25800"/>
    <w:rsid w:val="00E6635B"/>
    <w:rsid w:val="00EA0E54"/>
    <w:rsid w:val="00F01039"/>
    <w:rsid w:val="00F21A0D"/>
    <w:rsid w:val="00F440D3"/>
    <w:rsid w:val="00F472B6"/>
    <w:rsid w:val="00F474E5"/>
    <w:rsid w:val="00F54AEF"/>
    <w:rsid w:val="00F758CC"/>
    <w:rsid w:val="00F90336"/>
    <w:rsid w:val="00FA217B"/>
    <w:rsid w:val="00FE308B"/>
    <w:rsid w:val="00FF1548"/>
    <w:rsid w:val="10D80401"/>
    <w:rsid w:val="17FA0B25"/>
    <w:rsid w:val="1E1E786F"/>
    <w:rsid w:val="29E452C9"/>
    <w:rsid w:val="2D142369"/>
    <w:rsid w:val="379A790F"/>
    <w:rsid w:val="4114428E"/>
    <w:rsid w:val="4A5D4EF8"/>
    <w:rsid w:val="551B711D"/>
    <w:rsid w:val="57701871"/>
    <w:rsid w:val="59A23065"/>
    <w:rsid w:val="612400C6"/>
    <w:rsid w:val="7620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6">
    <w:name w:val="List Paragraph"/>
    <w:basedOn w:val="a"/>
    <w:autoRedefine/>
    <w:uiPriority w:val="34"/>
    <w:qFormat/>
    <w:pPr>
      <w:ind w:firstLineChars="200" w:firstLine="420"/>
    </w:pPr>
  </w:style>
  <w:style w:type="character" w:customStyle="1" w:styleId="Char0">
    <w:name w:val="页眉 Char"/>
    <w:basedOn w:val="a0"/>
    <w:link w:val="a4"/>
    <w:autoRedefine/>
    <w:uiPriority w:val="99"/>
    <w:qFormat/>
    <w:rPr>
      <w:rFonts w:ascii="Calibri" w:eastAsia="宋体" w:hAnsi="Calibri" w:cs="Times New Roman"/>
      <w:sz w:val="18"/>
      <w:szCs w:val="18"/>
    </w:rPr>
  </w:style>
  <w:style w:type="character" w:customStyle="1" w:styleId="Char">
    <w:name w:val="页脚 Char"/>
    <w:basedOn w:val="a0"/>
    <w:link w:val="a3"/>
    <w:autoRedefine/>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6">
    <w:name w:val="List Paragraph"/>
    <w:basedOn w:val="a"/>
    <w:autoRedefine/>
    <w:uiPriority w:val="34"/>
    <w:qFormat/>
    <w:pPr>
      <w:ind w:firstLineChars="200" w:firstLine="420"/>
    </w:pPr>
  </w:style>
  <w:style w:type="character" w:customStyle="1" w:styleId="Char0">
    <w:name w:val="页眉 Char"/>
    <w:basedOn w:val="a0"/>
    <w:link w:val="a4"/>
    <w:autoRedefine/>
    <w:uiPriority w:val="99"/>
    <w:qFormat/>
    <w:rPr>
      <w:rFonts w:ascii="Calibri" w:eastAsia="宋体" w:hAnsi="Calibri" w:cs="Times New Roman"/>
      <w:sz w:val="18"/>
      <w:szCs w:val="18"/>
    </w:rPr>
  </w:style>
  <w:style w:type="character" w:customStyle="1" w:styleId="Char">
    <w:name w:val="页脚 Char"/>
    <w:basedOn w:val="a0"/>
    <w:link w:val="a3"/>
    <w:autoRedefine/>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251</Words>
  <Characters>1435</Characters>
  <Application>Microsoft Office Word</Application>
  <DocSecurity>0</DocSecurity>
  <Lines>11</Lines>
  <Paragraphs>3</Paragraphs>
  <ScaleCrop>false</ScaleCrop>
  <Company>Lenovo</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14</cp:revision>
  <dcterms:created xsi:type="dcterms:W3CDTF">2022-04-11T09:50:00Z</dcterms:created>
  <dcterms:modified xsi:type="dcterms:W3CDTF">2024-04-26T07:43:00Z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0A992ACCC8C34116BDF64C869E72CA79_12</vt:lpwstr>
  </property>
</Properties>
</file>