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FDE88">
      <w:pPr>
        <w:wordWrap w:val="0"/>
        <w:spacing w:line="440" w:lineRule="exact"/>
        <w:jc w:val="center"/>
        <w:rPr>
          <w:rFonts w:ascii="黑体" w:hAnsi="黑体" w:eastAsia="黑体"/>
          <w:bCs/>
          <w:kern w:val="0"/>
          <w:szCs w:val="21"/>
        </w:rPr>
      </w:pPr>
      <w:r>
        <w:rPr>
          <w:rFonts w:ascii="黑体" w:hAnsi="黑体" w:eastAsia="黑体"/>
          <w:bCs/>
          <w:kern w:val="0"/>
          <w:szCs w:val="21"/>
        </w:rPr>
        <w:t xml:space="preserve">证券代码：002042 </w:t>
      </w:r>
      <w:r>
        <w:rPr>
          <w:rFonts w:hint="eastAsia" w:ascii="黑体" w:hAnsi="黑体" w:eastAsia="黑体"/>
          <w:bCs/>
          <w:kern w:val="0"/>
          <w:szCs w:val="21"/>
        </w:rPr>
        <w:t xml:space="preserve">       </w:t>
      </w:r>
      <w:r>
        <w:rPr>
          <w:rFonts w:ascii="黑体" w:hAnsi="黑体" w:eastAsia="黑体"/>
          <w:bCs/>
          <w:kern w:val="0"/>
          <w:szCs w:val="21"/>
        </w:rPr>
        <w:t xml:space="preserve">       证券简称：华孚时尚   </w:t>
      </w:r>
      <w:r>
        <w:rPr>
          <w:rFonts w:hint="eastAsia" w:ascii="黑体" w:hAnsi="黑体" w:eastAsia="黑体"/>
          <w:bCs/>
          <w:kern w:val="0"/>
          <w:szCs w:val="21"/>
        </w:rPr>
        <w:t xml:space="preserve">       </w:t>
      </w:r>
      <w:r>
        <w:rPr>
          <w:rFonts w:ascii="黑体" w:hAnsi="黑体" w:eastAsia="黑体"/>
          <w:bCs/>
          <w:kern w:val="0"/>
          <w:szCs w:val="21"/>
        </w:rPr>
        <w:t xml:space="preserve">   公告编号：20</w:t>
      </w:r>
      <w:r>
        <w:rPr>
          <w:rFonts w:hint="eastAsia" w:ascii="黑体" w:hAnsi="黑体" w:eastAsia="黑体"/>
          <w:bCs/>
          <w:kern w:val="0"/>
          <w:szCs w:val="21"/>
        </w:rPr>
        <w:t>25-09</w:t>
      </w:r>
    </w:p>
    <w:p w14:paraId="7DB8A53F">
      <w:pPr>
        <w:wordWrap w:val="0"/>
        <w:autoSpaceDE w:val="0"/>
        <w:autoSpaceDN w:val="0"/>
        <w:adjustRightInd w:val="0"/>
        <w:jc w:val="center"/>
        <w:rPr>
          <w:rFonts w:ascii="Times New Roman" w:hAnsi="Times New Roman"/>
          <w:kern w:val="0"/>
          <w:sz w:val="36"/>
          <w:szCs w:val="36"/>
        </w:rPr>
      </w:pPr>
    </w:p>
    <w:p w14:paraId="6F7B0D4B">
      <w:pPr>
        <w:wordWrap w:val="0"/>
        <w:autoSpaceDE w:val="0"/>
        <w:autoSpaceDN w:val="0"/>
        <w:adjustRightInd w:val="0"/>
        <w:jc w:val="center"/>
        <w:rPr>
          <w:rFonts w:ascii="Times New Roman" w:hAnsi="Times New Roman"/>
          <w:b/>
          <w:kern w:val="0"/>
          <w:sz w:val="36"/>
          <w:szCs w:val="36"/>
        </w:rPr>
      </w:pPr>
      <w:r>
        <w:rPr>
          <w:rFonts w:ascii="Times New Roman" w:hAnsi="Times New Roman"/>
          <w:b/>
          <w:kern w:val="0"/>
          <w:sz w:val="36"/>
          <w:szCs w:val="36"/>
        </w:rPr>
        <w:t>华孚时尚股份有限公司</w:t>
      </w:r>
    </w:p>
    <w:p w14:paraId="1C175C61">
      <w:pPr>
        <w:wordWrap w:val="0"/>
        <w:autoSpaceDE w:val="0"/>
        <w:autoSpaceDN w:val="0"/>
        <w:adjustRightInd w:val="0"/>
        <w:jc w:val="center"/>
        <w:rPr>
          <w:rFonts w:ascii="Times New Roman" w:hAnsi="Times New Roman"/>
          <w:b/>
          <w:kern w:val="0"/>
          <w:sz w:val="36"/>
          <w:szCs w:val="36"/>
        </w:rPr>
      </w:pPr>
      <w:r>
        <w:rPr>
          <w:rFonts w:hint="eastAsia" w:ascii="Times New Roman" w:hAnsi="Times New Roman"/>
          <w:b/>
          <w:kern w:val="0"/>
          <w:sz w:val="36"/>
          <w:szCs w:val="36"/>
        </w:rPr>
        <w:t>第九届监事会第二次</w:t>
      </w:r>
      <w:r>
        <w:rPr>
          <w:rFonts w:ascii="Times New Roman" w:hAnsi="Times New Roman"/>
          <w:b/>
          <w:kern w:val="0"/>
          <w:sz w:val="36"/>
          <w:szCs w:val="36"/>
        </w:rPr>
        <w:t>会议决议公告</w:t>
      </w:r>
    </w:p>
    <w:p w14:paraId="1F39468A">
      <w:pPr>
        <w:wordWrap w:val="0"/>
        <w:autoSpaceDE w:val="0"/>
        <w:autoSpaceDN w:val="0"/>
        <w:adjustRightInd w:val="0"/>
        <w:ind w:firstLine="480" w:firstLineChars="200"/>
        <w:jc w:val="left"/>
        <w:rPr>
          <w:rFonts w:ascii="Times New Roman" w:hAnsi="Times New Roman" w:eastAsia="楷体_GB2312"/>
          <w:kern w:val="0"/>
          <w:sz w:val="24"/>
          <w:szCs w:val="24"/>
        </w:rPr>
      </w:pPr>
    </w:p>
    <w:p w14:paraId="7F600067">
      <w:pPr>
        <w:wordWrap w:val="0"/>
        <w:autoSpaceDE w:val="0"/>
        <w:autoSpaceDN w:val="0"/>
        <w:adjustRightInd w:val="0"/>
        <w:ind w:firstLine="480" w:firstLineChars="200"/>
        <w:jc w:val="left"/>
        <w:rPr>
          <w:rFonts w:ascii="Times New Roman" w:hAnsi="Times New Roman" w:eastAsia="楷体_GB2312"/>
          <w:kern w:val="0"/>
          <w:sz w:val="24"/>
          <w:szCs w:val="24"/>
        </w:rPr>
      </w:pPr>
      <w:r>
        <w:rPr>
          <w:rFonts w:ascii="Times New Roman" w:hAnsi="Times New Roman" w:eastAsia="楷体_GB2312"/>
          <w:kern w:val="0"/>
          <w:sz w:val="24"/>
          <w:szCs w:val="24"/>
        </w:rPr>
        <w:t>本公司及</w:t>
      </w:r>
      <w:r>
        <w:rPr>
          <w:rFonts w:hint="eastAsia" w:ascii="Times New Roman" w:hAnsi="Times New Roman" w:eastAsia="楷体_GB2312"/>
          <w:kern w:val="0"/>
          <w:sz w:val="24"/>
          <w:szCs w:val="24"/>
        </w:rPr>
        <w:t>监</w:t>
      </w:r>
      <w:r>
        <w:rPr>
          <w:rFonts w:ascii="Times New Roman" w:hAnsi="Times New Roman" w:eastAsia="楷体_GB2312"/>
          <w:kern w:val="0"/>
          <w:sz w:val="24"/>
          <w:szCs w:val="24"/>
        </w:rPr>
        <w:t>事会全体成员保证信息披露的内容真实、准确、完整，没有虚假记载、误导性陈述或重大遗漏。</w:t>
      </w:r>
    </w:p>
    <w:p w14:paraId="6C65DBD0">
      <w:pPr>
        <w:wordWrap w:val="0"/>
        <w:spacing w:line="400" w:lineRule="exact"/>
        <w:ind w:firstLine="254" w:firstLineChars="196"/>
        <w:rPr>
          <w:rFonts w:asciiTheme="minorEastAsia" w:hAnsiTheme="minorEastAsia" w:eastAsiaTheme="minorEastAsia"/>
          <w:kern w:val="0"/>
          <w:sz w:val="13"/>
          <w:szCs w:val="24"/>
        </w:rPr>
      </w:pPr>
    </w:p>
    <w:p w14:paraId="5F0216F5">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华孚时尚股份有限公司（以下简称“公司”）监事会于2025年4月14日以传真、电子邮件及书面送达等方式发出了召开第九届监事会第二次会议的通知，于2025年4月24日下午14时在深圳市福田</w:t>
      </w:r>
      <w:r>
        <w:rPr>
          <w:rFonts w:hint="eastAsia" w:ascii="宋体" w:hAnsi="宋体" w:cs="宋体"/>
          <w:bCs/>
          <w:kern w:val="0"/>
          <w:sz w:val="24"/>
          <w:szCs w:val="24"/>
        </w:rPr>
        <w:t>区市花路5号长富金茂大厦59楼会议室以现场结合通讯的方式</w:t>
      </w:r>
      <w:r>
        <w:rPr>
          <w:rFonts w:hint="eastAsia" w:ascii="宋体" w:hAnsi="宋体" w:cs="宋体"/>
          <w:kern w:val="0"/>
          <w:sz w:val="24"/>
          <w:szCs w:val="24"/>
        </w:rPr>
        <w:t>召开。会议应出席监事3名，实际出席监事3名，会议由监事会主席张际松先生主持。公司全体监事、部分高级管理人员列席了会议，会议符合《公司法》、《公司章程》的规定。</w:t>
      </w:r>
    </w:p>
    <w:p w14:paraId="4D4A27F5">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一、以3票赞成、0票反对、0票弃权的表决结果审议通过《2024年度报告全文及摘要的议案》</w:t>
      </w:r>
    </w:p>
    <w:p w14:paraId="155DF367">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报告全文和摘要详见公司于2025年4月26日发布在《证券时报》和《中国证券报》及巨潮资讯网(</w:t>
      </w:r>
      <w:r>
        <w:fldChar w:fldCharType="begin"/>
      </w:r>
      <w:r>
        <w:instrText xml:space="preserve"> HYPERLINK "http://www.cninfo.com.cn" </w:instrText>
      </w:r>
      <w:r>
        <w:fldChar w:fldCharType="separate"/>
      </w:r>
      <w:r>
        <w:rPr>
          <w:rStyle w:val="7"/>
          <w:rFonts w:hint="eastAsia" w:ascii="宋体" w:hAnsi="宋体" w:cs="宋体"/>
          <w:color w:val="auto"/>
          <w:kern w:val="0"/>
          <w:sz w:val="24"/>
          <w:szCs w:val="24"/>
          <w:u w:val="none"/>
        </w:rPr>
        <w:t>http://www.cninfo.com.cn</w:t>
      </w:r>
      <w:r>
        <w:rPr>
          <w:rStyle w:val="7"/>
          <w:rFonts w:hint="eastAsia" w:ascii="宋体" w:hAnsi="宋体" w:cs="宋体"/>
          <w:color w:val="auto"/>
          <w:kern w:val="0"/>
          <w:sz w:val="24"/>
          <w:szCs w:val="24"/>
          <w:u w:val="none"/>
        </w:rPr>
        <w:fldChar w:fldCharType="end"/>
      </w:r>
      <w:r>
        <w:rPr>
          <w:rFonts w:hint="eastAsia" w:ascii="宋体" w:hAnsi="宋体" w:cs="宋体"/>
          <w:kern w:val="0"/>
          <w:sz w:val="24"/>
          <w:szCs w:val="24"/>
        </w:rPr>
        <w:t>)的《2024年年度报告》、《2024年年度报告摘要》。</w:t>
      </w:r>
    </w:p>
    <w:p w14:paraId="73B9BE0C">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本议案尚需提交公司2024年度股东大会审议。</w:t>
      </w:r>
    </w:p>
    <w:p w14:paraId="2F750729">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二、以3票赞成、0票反对、0票弃权的表决结果审议通过《2025年第一季度报告全文的议案》</w:t>
      </w:r>
    </w:p>
    <w:p w14:paraId="4D0AC163">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报告全文详见公司于2025年4月26日发布在《证券时报》和《中国证券报》及巨潮资讯网(</w:t>
      </w:r>
      <w:r>
        <w:fldChar w:fldCharType="begin"/>
      </w:r>
      <w:r>
        <w:instrText xml:space="preserve"> HYPERLINK "http://www.cninfo.com.cn" </w:instrText>
      </w:r>
      <w:r>
        <w:fldChar w:fldCharType="separate"/>
      </w:r>
      <w:r>
        <w:rPr>
          <w:rStyle w:val="7"/>
          <w:rFonts w:hint="eastAsia" w:ascii="宋体" w:hAnsi="宋体" w:cs="宋体"/>
          <w:color w:val="auto"/>
          <w:kern w:val="0"/>
          <w:sz w:val="24"/>
          <w:szCs w:val="24"/>
          <w:u w:val="none"/>
        </w:rPr>
        <w:t>http://www.cninfo.com.cn</w:t>
      </w:r>
      <w:r>
        <w:rPr>
          <w:rStyle w:val="7"/>
          <w:rFonts w:hint="eastAsia" w:ascii="宋体" w:hAnsi="宋体" w:cs="宋体"/>
          <w:color w:val="auto"/>
          <w:kern w:val="0"/>
          <w:sz w:val="24"/>
          <w:szCs w:val="24"/>
          <w:u w:val="none"/>
        </w:rPr>
        <w:fldChar w:fldCharType="end"/>
      </w:r>
      <w:r>
        <w:rPr>
          <w:rFonts w:hint="eastAsia" w:ascii="宋体" w:hAnsi="宋体" w:cs="宋体"/>
          <w:kern w:val="0"/>
          <w:sz w:val="24"/>
          <w:szCs w:val="24"/>
        </w:rPr>
        <w:t>)的《2025年一季度报告》。</w:t>
      </w:r>
    </w:p>
    <w:p w14:paraId="61514E13">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三、以3票赞成、0票反对、0票弃权的表决结果审议通过《2024年度监事会工作报告的议案》</w:t>
      </w:r>
    </w:p>
    <w:p w14:paraId="119BB0C0">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详见公司于2025年4月26日发布在巨潮资讯网(</w:t>
      </w:r>
      <w:r>
        <w:fldChar w:fldCharType="begin"/>
      </w:r>
      <w:r>
        <w:instrText xml:space="preserve"> HYPERLINK "http://www.cninfo.com.cn" </w:instrText>
      </w:r>
      <w:r>
        <w:fldChar w:fldCharType="separate"/>
      </w:r>
      <w:r>
        <w:rPr>
          <w:rStyle w:val="7"/>
          <w:rFonts w:hint="eastAsia" w:ascii="宋体" w:hAnsi="宋体" w:cs="宋体"/>
          <w:color w:val="auto"/>
          <w:kern w:val="0"/>
          <w:sz w:val="24"/>
          <w:szCs w:val="24"/>
          <w:u w:val="none"/>
        </w:rPr>
        <w:t>http://www.cninfo.com.cn</w:t>
      </w:r>
      <w:r>
        <w:rPr>
          <w:rStyle w:val="7"/>
          <w:rFonts w:hint="eastAsia" w:ascii="宋体" w:hAnsi="宋体" w:cs="宋体"/>
          <w:color w:val="auto"/>
          <w:kern w:val="0"/>
          <w:sz w:val="24"/>
          <w:szCs w:val="24"/>
          <w:u w:val="none"/>
        </w:rPr>
        <w:fldChar w:fldCharType="end"/>
      </w:r>
      <w:r>
        <w:rPr>
          <w:rFonts w:hint="eastAsia" w:ascii="宋体" w:hAnsi="宋体" w:cs="宋体"/>
          <w:kern w:val="0"/>
          <w:sz w:val="24"/>
          <w:szCs w:val="24"/>
        </w:rPr>
        <w:t>) 上的《2024年度监事会工作报告》。</w:t>
      </w:r>
    </w:p>
    <w:p w14:paraId="7A0E5FDE">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本议案尚需提交公司2024年度股东大会审议。</w:t>
      </w:r>
    </w:p>
    <w:p w14:paraId="4253C5D5">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四、以3票赞成、0票反对、0票弃权的表决结果审议通过《2024年度财务决算报告的议案》</w:t>
      </w:r>
    </w:p>
    <w:p w14:paraId="4E160F19">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报告期内，经政旦志远（深圳）会计师事务所（特殊普通合伙）审计，公司实现营业收入107.62亿元，同比下降21.24%；归属于上市公司股东的净利润-2.0</w:t>
      </w:r>
      <w:r>
        <w:rPr>
          <w:rFonts w:hint="eastAsia" w:ascii="宋体" w:hAnsi="宋体" w:cs="宋体"/>
          <w:kern w:val="0"/>
          <w:sz w:val="24"/>
          <w:szCs w:val="24"/>
          <w:lang w:val="en-US" w:eastAsia="zh-CN"/>
        </w:rPr>
        <w:t>8</w:t>
      </w:r>
      <w:bookmarkStart w:id="0" w:name="_GoBack"/>
      <w:bookmarkEnd w:id="0"/>
      <w:r>
        <w:rPr>
          <w:rFonts w:hint="eastAsia" w:ascii="宋体" w:hAnsi="宋体" w:cs="宋体"/>
          <w:kern w:val="0"/>
          <w:sz w:val="24"/>
          <w:szCs w:val="24"/>
        </w:rPr>
        <w:t>亿元；基本每股收益-0.12元/股。截至2024年12月31日，公司总资产171.79亿元，同比上升0.81%，归属于上市公司股东的所有者权益为57.83亿元，同比下降6.07%。</w:t>
      </w:r>
    </w:p>
    <w:p w14:paraId="6870938B">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本议案需提交公司2024年度股东大会审议。</w:t>
      </w:r>
    </w:p>
    <w:p w14:paraId="02771481">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五、以3票赞成、0票反对、0票弃权的表决结果审议通过《关于2024年利润分配预案的议案》</w:t>
      </w:r>
    </w:p>
    <w:p w14:paraId="1E47E592">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2024年度利润分配方案详见公司于2025年4月26日披露在《证券时报》、《中国证券报》及巨潮资讯网(http://www.cninfo.com.cn)上的《关于2024年度拟不进行利润分配的公告》。</w:t>
      </w:r>
    </w:p>
    <w:p w14:paraId="3923E993">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本议案需提交公司2024年度股东大会审议。</w:t>
      </w:r>
    </w:p>
    <w:p w14:paraId="38970C42">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六、以3票赞成、0票反对、0票弃权的表决结果审议通过《2024年度内部控制评价报告的议案》</w:t>
      </w:r>
    </w:p>
    <w:p w14:paraId="59365D71">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经审议，监事会认为：公司已按照《公司法》、《深圳证券交易所股票上市规则》及《公开发行证券的公司信息披露编报规则第21号——年度内部控制评价报告的一般规定》等有关法律、法规的要求，制定了较为健全的内部控制制度体系，各项内部控制制度能够得到有效的执行，保证公司的规范运作。公司《2024年度内部控制评价报告》真实、客观地反映了公司2024年度内部控制制度的建设及运行情况。报告全文详见2025年4月26日披露在巨潮资讯网(</w:t>
      </w:r>
      <w:r>
        <w:fldChar w:fldCharType="begin"/>
      </w:r>
      <w:r>
        <w:instrText xml:space="preserve"> HYPERLINK "http://www.cninfo.com.cn" </w:instrText>
      </w:r>
      <w:r>
        <w:fldChar w:fldCharType="separate"/>
      </w:r>
      <w:r>
        <w:rPr>
          <w:rFonts w:hint="eastAsia" w:ascii="宋体" w:hAnsi="宋体" w:cs="宋体"/>
          <w:kern w:val="0"/>
          <w:sz w:val="24"/>
          <w:szCs w:val="24"/>
        </w:rPr>
        <w:t>http://www.cninfo.com.cn</w:t>
      </w:r>
      <w:r>
        <w:rPr>
          <w:rFonts w:hint="eastAsia" w:ascii="宋体" w:hAnsi="宋体" w:cs="宋体"/>
          <w:kern w:val="0"/>
          <w:sz w:val="24"/>
          <w:szCs w:val="24"/>
        </w:rPr>
        <w:fldChar w:fldCharType="end"/>
      </w:r>
      <w:r>
        <w:rPr>
          <w:rFonts w:hint="eastAsia" w:ascii="宋体" w:hAnsi="宋体" w:cs="宋体"/>
          <w:kern w:val="0"/>
          <w:sz w:val="24"/>
          <w:szCs w:val="24"/>
        </w:rPr>
        <w:t>)的《2024年度内部控制自我评价报告》。</w:t>
      </w:r>
    </w:p>
    <w:p w14:paraId="615D824A">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本议案需提交公司2024年度股东大会审议。</w:t>
      </w:r>
    </w:p>
    <w:p w14:paraId="79BD250C">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七、以3票赞成、0票反对、0票弃权的表决结果审议通过《2024年社会责任报告的议案》</w:t>
      </w:r>
    </w:p>
    <w:p w14:paraId="38775F6F">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报告全文详见公司于2025年4月26日披露在巨潮资讯网(</w:t>
      </w:r>
      <w:r>
        <w:fldChar w:fldCharType="begin"/>
      </w:r>
      <w:r>
        <w:instrText xml:space="preserve"> HYPERLINK "http://www.cninfo.com.cn" </w:instrText>
      </w:r>
      <w:r>
        <w:fldChar w:fldCharType="separate"/>
      </w:r>
      <w:r>
        <w:rPr>
          <w:rFonts w:hint="eastAsia" w:ascii="宋体" w:hAnsi="宋体" w:cs="宋体"/>
          <w:sz w:val="24"/>
          <w:szCs w:val="24"/>
        </w:rPr>
        <w:t>http://www.cninfo.com.cn</w:t>
      </w:r>
      <w:r>
        <w:rPr>
          <w:rFonts w:hint="eastAsia" w:ascii="宋体" w:hAnsi="宋体" w:cs="宋体"/>
          <w:sz w:val="24"/>
          <w:szCs w:val="24"/>
        </w:rPr>
        <w:fldChar w:fldCharType="end"/>
      </w:r>
      <w:r>
        <w:rPr>
          <w:rFonts w:hint="eastAsia" w:ascii="宋体" w:hAnsi="宋体" w:cs="宋体"/>
          <w:kern w:val="0"/>
          <w:sz w:val="24"/>
          <w:szCs w:val="24"/>
        </w:rPr>
        <w:t>)上的《2024年社会责任报告》。</w:t>
      </w:r>
    </w:p>
    <w:p w14:paraId="61C3C47C">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八、以3票赞成、0票反对、0票弃权的表决结果审议通过《</w:t>
      </w:r>
      <w:r>
        <w:rPr>
          <w:rFonts w:hint="eastAsia" w:ascii="宋体" w:hAnsi="宋体" w:cs="宋体"/>
          <w:sz w:val="24"/>
          <w:szCs w:val="24"/>
        </w:rPr>
        <w:t>关于2025年使用自有资金进行投资理财的议案</w:t>
      </w:r>
      <w:r>
        <w:rPr>
          <w:rFonts w:hint="eastAsia" w:ascii="宋体" w:hAnsi="宋体" w:cs="宋体"/>
          <w:kern w:val="0"/>
          <w:sz w:val="24"/>
          <w:szCs w:val="24"/>
        </w:rPr>
        <w:t>》</w:t>
      </w:r>
    </w:p>
    <w:p w14:paraId="436FD9DC">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详见公司于2025年4月26日刊登于《证券时报》、《中国证券报》和巨潮资讯网(</w:t>
      </w:r>
      <w:r>
        <w:fldChar w:fldCharType="begin"/>
      </w:r>
      <w:r>
        <w:instrText xml:space="preserve"> HYPERLINK "http://www.cninfo.com.cn" </w:instrText>
      </w:r>
      <w:r>
        <w:fldChar w:fldCharType="separate"/>
      </w:r>
      <w:r>
        <w:rPr>
          <w:rFonts w:hint="eastAsia" w:ascii="宋体" w:hAnsi="宋体" w:cs="宋体"/>
          <w:sz w:val="24"/>
          <w:szCs w:val="24"/>
        </w:rPr>
        <w:t>http://www.cninfo.com.cn</w:t>
      </w:r>
      <w:r>
        <w:rPr>
          <w:rFonts w:hint="eastAsia" w:ascii="宋体" w:hAnsi="宋体" w:cs="宋体"/>
          <w:sz w:val="24"/>
          <w:szCs w:val="24"/>
        </w:rPr>
        <w:fldChar w:fldCharType="end"/>
      </w:r>
      <w:r>
        <w:rPr>
          <w:rFonts w:hint="eastAsia" w:ascii="宋体" w:hAnsi="宋体" w:cs="宋体"/>
          <w:kern w:val="0"/>
          <w:sz w:val="24"/>
          <w:szCs w:val="24"/>
        </w:rPr>
        <w:t>)上的《</w:t>
      </w:r>
      <w:r>
        <w:rPr>
          <w:rFonts w:hint="eastAsia" w:ascii="宋体" w:hAnsi="宋体" w:cs="宋体"/>
          <w:sz w:val="24"/>
          <w:szCs w:val="24"/>
        </w:rPr>
        <w:t>关于2025年使用自有资金进行投资理财的公告</w:t>
      </w:r>
      <w:r>
        <w:rPr>
          <w:rFonts w:hint="eastAsia" w:ascii="宋体" w:hAnsi="宋体" w:cs="宋体"/>
          <w:kern w:val="0"/>
          <w:sz w:val="24"/>
          <w:szCs w:val="24"/>
        </w:rPr>
        <w:t>》。</w:t>
      </w:r>
    </w:p>
    <w:p w14:paraId="59A02668">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本议案尚需提交公司2024年度股东大会审议。</w:t>
      </w:r>
    </w:p>
    <w:p w14:paraId="6002AA6C">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九、以3票赞成、0票反对、0票弃权的表决结果审议通过《关于预计2025年度参与期货套期保值交易事项的议案》</w:t>
      </w:r>
    </w:p>
    <w:p w14:paraId="7497695D">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详情见公司于2025年4月26日披露于《证券时报》、《中国证券报》和巨潮资讯网(http://www.cninfo.com.cn)上的《关于预计2025年度参与期货套期保值交易事项的公告》。</w:t>
      </w:r>
    </w:p>
    <w:p w14:paraId="399FA2AD">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本议案尚需提交公司2024年度股东大会审议。</w:t>
      </w:r>
    </w:p>
    <w:p w14:paraId="03DC141B">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十、以3票赞成、0票反对、0票弃权的表决结果审议通过《关于预计2025年度申请银行授信额度及借款的议案》</w:t>
      </w:r>
    </w:p>
    <w:p w14:paraId="66ED59A2">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公司持续生产经营与技术改造项目的需要，预计公司2025年需向银行申请综合授信额度不超过人民币200亿元，主要包括银行授信的各类业务品种及产品。为确保资金需求，董事会拟提请股东大会授权公司董事长或总裁在授信额度内申请授信事宜，并同意其在借款行或新增银行间可以调剂使用，授权期限自公司2024年度股东大会审议通过该事项之日起至下次股东大会审议该事项之日止。我们同意该事项。</w:t>
      </w:r>
    </w:p>
    <w:p w14:paraId="266E4006">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本议案尚需提交公司2024年度股东大会审议。</w:t>
      </w:r>
    </w:p>
    <w:p w14:paraId="394B96D7">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十一、以3票赞成、0票反对、0票弃权的表决结果审议通过《关于预计2025年度公司为子公司提供担保的议案》</w:t>
      </w:r>
    </w:p>
    <w:p w14:paraId="612BE313">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详见公司于2025年4月26日刊登于《证券时报》、《中国证券报》和巨潮资讯网(</w:t>
      </w:r>
      <w:r>
        <w:rPr>
          <w:rStyle w:val="7"/>
          <w:rFonts w:hint="eastAsia" w:ascii="宋体" w:hAnsi="宋体" w:cs="宋体"/>
          <w:color w:val="auto"/>
          <w:kern w:val="0"/>
          <w:sz w:val="24"/>
          <w:szCs w:val="24"/>
          <w:u w:val="none"/>
        </w:rPr>
        <w:t>http://www.cninfo.com.cn)上的</w:t>
      </w:r>
      <w:r>
        <w:rPr>
          <w:rFonts w:hint="eastAsia" w:ascii="宋体" w:hAnsi="宋体" w:cs="宋体"/>
          <w:kern w:val="0"/>
          <w:sz w:val="24"/>
          <w:szCs w:val="24"/>
        </w:rPr>
        <w:t>《关于预计2025年度公司为子公司提供担保的公告》。本议案尚需提交公司2024年度股东大会审议。</w:t>
      </w:r>
    </w:p>
    <w:p w14:paraId="13670A85">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十二、以3票赞成、0票反对、0票弃权的表决结果审议通过《关于预计2025年度日常关联交易的议案》</w:t>
      </w:r>
    </w:p>
    <w:p w14:paraId="2F90E36C">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详见公司于2025年4月26日刊登于《证券时报》、《中国证券报》和巨潮资讯网(</w:t>
      </w:r>
      <w:r>
        <w:fldChar w:fldCharType="begin"/>
      </w:r>
      <w:r>
        <w:instrText xml:space="preserve"> HYPERLINK "http://www.cninfo.com.cn" </w:instrText>
      </w:r>
      <w:r>
        <w:fldChar w:fldCharType="separate"/>
      </w:r>
      <w:r>
        <w:rPr>
          <w:rFonts w:hint="eastAsia" w:ascii="宋体" w:hAnsi="宋体" w:cs="宋体"/>
          <w:kern w:val="0"/>
          <w:sz w:val="24"/>
          <w:szCs w:val="24"/>
        </w:rPr>
        <w:t>http://www.cninfo.com.cn</w:t>
      </w:r>
      <w:r>
        <w:rPr>
          <w:rFonts w:hint="eastAsia" w:ascii="宋体" w:hAnsi="宋体" w:cs="宋体"/>
          <w:kern w:val="0"/>
          <w:sz w:val="24"/>
          <w:szCs w:val="24"/>
        </w:rPr>
        <w:fldChar w:fldCharType="end"/>
      </w:r>
      <w:r>
        <w:rPr>
          <w:rFonts w:hint="eastAsia" w:ascii="宋体" w:hAnsi="宋体" w:cs="宋体"/>
          <w:kern w:val="0"/>
          <w:sz w:val="24"/>
          <w:szCs w:val="24"/>
        </w:rPr>
        <w:t>)上的《关于预计2025年度日常关联交易的公告》。</w:t>
      </w:r>
    </w:p>
    <w:p w14:paraId="222ED17F">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本议案尚需提交公司2024年度股东大会审议。</w:t>
      </w:r>
    </w:p>
    <w:p w14:paraId="010C5431">
      <w:pPr>
        <w:wordWrap w:val="0"/>
        <w:spacing w:line="360" w:lineRule="auto"/>
        <w:ind w:firstLine="480" w:firstLineChars="200"/>
        <w:rPr>
          <w:rFonts w:ascii="宋体" w:hAnsi="宋体" w:cs="宋体"/>
          <w:sz w:val="24"/>
          <w:szCs w:val="24"/>
        </w:rPr>
      </w:pPr>
      <w:r>
        <w:rPr>
          <w:rFonts w:hint="eastAsia" w:ascii="宋体" w:hAnsi="宋体" w:cs="宋体"/>
          <w:sz w:val="24"/>
          <w:szCs w:val="24"/>
        </w:rPr>
        <w:t>十三、以3票赞成、0票反对、0票弃权的表决结果审议通过《2024年度募集资金存放与使用情况专项报告的议案》</w:t>
      </w:r>
    </w:p>
    <w:p w14:paraId="601B1559">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详情见公司于2025年4月26日刊登于《证券时报》、《中国证券报》和巨潮资讯网(http://www.cninfo.com.cn)上的《2024年度募集资金存放与使用情况专项报告》。</w:t>
      </w:r>
    </w:p>
    <w:p w14:paraId="5996F75D">
      <w:pPr>
        <w:wordWrap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本议案尚需提交公司2024年度股东大会审议。</w:t>
      </w:r>
    </w:p>
    <w:p w14:paraId="67C69573">
      <w:pPr>
        <w:wordWrap w:val="0"/>
        <w:spacing w:line="360" w:lineRule="auto"/>
        <w:ind w:firstLine="480" w:firstLineChars="200"/>
        <w:rPr>
          <w:rFonts w:ascii="宋体" w:hAnsi="宋体" w:cs="宋体"/>
          <w:sz w:val="24"/>
          <w:szCs w:val="24"/>
        </w:rPr>
      </w:pPr>
      <w:r>
        <w:rPr>
          <w:rFonts w:hint="eastAsia" w:ascii="宋体" w:hAnsi="宋体" w:cs="宋体"/>
          <w:sz w:val="24"/>
          <w:szCs w:val="24"/>
        </w:rPr>
        <w:t>十四、以3票赞成、0票反对、0票弃权的表决结果审议通过《关于续聘2025年度会计师事务所的议案》</w:t>
      </w:r>
    </w:p>
    <w:p w14:paraId="444B9598">
      <w:pPr>
        <w:wordWrap w:val="0"/>
        <w:spacing w:line="360" w:lineRule="auto"/>
        <w:ind w:firstLine="480" w:firstLineChars="200"/>
        <w:rPr>
          <w:rFonts w:ascii="宋体" w:hAnsi="宋体" w:cs="宋体"/>
          <w:sz w:val="24"/>
          <w:szCs w:val="24"/>
        </w:rPr>
      </w:pPr>
      <w:r>
        <w:rPr>
          <w:rFonts w:hint="eastAsia" w:ascii="宋体" w:hAnsi="宋体" w:cs="宋体"/>
          <w:sz w:val="24"/>
          <w:szCs w:val="24"/>
        </w:rPr>
        <w:t>详情见公司于2025年4月26日刊登于《证券时报》、《中国证券报》和巨潮资讯网(http://www.cninfo.com.cn)上的《关于续聘2025年度会计师事务所的公告》。</w:t>
      </w:r>
    </w:p>
    <w:p w14:paraId="7498AFDB">
      <w:pPr>
        <w:wordWrap w:val="0"/>
        <w:spacing w:line="360" w:lineRule="auto"/>
        <w:ind w:firstLine="480" w:firstLineChars="200"/>
        <w:rPr>
          <w:rFonts w:ascii="宋体" w:hAnsi="宋体" w:cs="宋体"/>
          <w:sz w:val="24"/>
          <w:szCs w:val="24"/>
        </w:rPr>
      </w:pPr>
      <w:r>
        <w:rPr>
          <w:rFonts w:hint="eastAsia" w:ascii="宋体" w:hAnsi="宋体" w:cs="宋体"/>
          <w:kern w:val="0"/>
          <w:sz w:val="24"/>
          <w:szCs w:val="24"/>
        </w:rPr>
        <w:t>本议案尚需提交公司2024年度股东大会审议。</w:t>
      </w:r>
    </w:p>
    <w:p w14:paraId="6E776D37">
      <w:pPr>
        <w:wordWrap w:val="0"/>
        <w:spacing w:line="360" w:lineRule="auto"/>
        <w:ind w:firstLine="480" w:firstLineChars="200"/>
        <w:rPr>
          <w:rFonts w:ascii="宋体" w:hAnsi="宋体" w:cs="宋体"/>
          <w:sz w:val="24"/>
          <w:szCs w:val="24"/>
        </w:rPr>
      </w:pPr>
      <w:r>
        <w:rPr>
          <w:rFonts w:hint="eastAsia" w:ascii="宋体" w:hAnsi="宋体" w:cs="宋体"/>
          <w:kern w:val="0"/>
          <w:sz w:val="24"/>
          <w:szCs w:val="24"/>
        </w:rPr>
        <w:t>十五、</w:t>
      </w:r>
      <w:r>
        <w:rPr>
          <w:rFonts w:hint="eastAsia" w:ascii="宋体" w:hAnsi="宋体" w:cs="宋体"/>
          <w:sz w:val="24"/>
          <w:szCs w:val="24"/>
        </w:rPr>
        <w:t>以3票赞成、0票反对、0票弃权的表决结果审议通过《关于计提资产减值准备的议案》</w:t>
      </w:r>
    </w:p>
    <w:p w14:paraId="1A6CA582">
      <w:pPr>
        <w:wordWrap w:val="0"/>
        <w:spacing w:line="360" w:lineRule="auto"/>
        <w:ind w:firstLine="480" w:firstLineChars="200"/>
        <w:rPr>
          <w:rFonts w:ascii="宋体" w:hAnsi="宋体" w:cs="宋体"/>
          <w:sz w:val="24"/>
          <w:szCs w:val="24"/>
        </w:rPr>
      </w:pPr>
      <w:r>
        <w:rPr>
          <w:rFonts w:hint="eastAsia" w:ascii="宋体" w:hAnsi="宋体" w:cs="宋体"/>
          <w:sz w:val="24"/>
          <w:szCs w:val="24"/>
        </w:rPr>
        <w:t>详情见公司于2025年4月26日刊登于《证券时报》、《中国证券报》和巨潮资讯网(http://www.cninfo.com.cn)上的《关于计提资产减值准备的公告》。</w:t>
      </w:r>
    </w:p>
    <w:p w14:paraId="21B2D1F1">
      <w:pPr>
        <w:wordWrap w:val="0"/>
        <w:spacing w:line="360" w:lineRule="auto"/>
        <w:ind w:firstLine="480" w:firstLineChars="200"/>
        <w:rPr>
          <w:rFonts w:ascii="宋体" w:hAnsi="宋体" w:cs="宋体"/>
          <w:sz w:val="24"/>
          <w:szCs w:val="24"/>
        </w:rPr>
      </w:pPr>
      <w:r>
        <w:rPr>
          <w:rFonts w:hint="eastAsia" w:ascii="宋体" w:hAnsi="宋体" w:cs="宋体"/>
          <w:sz w:val="24"/>
          <w:szCs w:val="24"/>
        </w:rPr>
        <w:t>十六、以3票赞成、0票反对、0票弃权的表决结果审议通过《关于子公司出租房产暨关联交易的议案》</w:t>
      </w:r>
    </w:p>
    <w:p w14:paraId="6CEC7D15">
      <w:pPr>
        <w:wordWrap w:val="0"/>
        <w:spacing w:line="360" w:lineRule="auto"/>
        <w:ind w:firstLine="480" w:firstLineChars="200"/>
        <w:rPr>
          <w:rFonts w:ascii="宋体" w:hAnsi="宋体" w:cs="宋体"/>
          <w:sz w:val="24"/>
          <w:szCs w:val="24"/>
        </w:rPr>
      </w:pPr>
      <w:r>
        <w:rPr>
          <w:rFonts w:hint="eastAsia" w:ascii="宋体" w:hAnsi="宋体" w:cs="宋体"/>
          <w:sz w:val="24"/>
          <w:szCs w:val="24"/>
        </w:rPr>
        <w:t>详情见公司于2025年4月26日刊登于《证券时报》、《中国证券报》和巨潮资讯网(http://www.cninfo.com.cn)上的《关于子公司出租房产暨关联交易的公告》。</w:t>
      </w:r>
    </w:p>
    <w:p w14:paraId="47B2B427">
      <w:pPr>
        <w:wordWrap w:val="0"/>
        <w:spacing w:line="360" w:lineRule="auto"/>
        <w:ind w:firstLine="472" w:firstLineChars="196"/>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备查文件</w:t>
      </w:r>
    </w:p>
    <w:p w14:paraId="3CDA9C81">
      <w:pPr>
        <w:wordWrap w:val="0"/>
        <w:spacing w:line="360" w:lineRule="auto"/>
        <w:ind w:firstLine="470" w:firstLineChars="19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1、第九届监事会第二次会议决议；</w:t>
      </w:r>
    </w:p>
    <w:p w14:paraId="14EAFFEE">
      <w:pPr>
        <w:wordWrap w:val="0"/>
        <w:spacing w:line="360" w:lineRule="auto"/>
        <w:ind w:firstLine="470" w:firstLineChars="19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2、监事会关于公司2024年度报告的专项审核意见和2025年第一季度报告的专项审核意见。</w:t>
      </w:r>
    </w:p>
    <w:p w14:paraId="3B68ED27">
      <w:pPr>
        <w:wordWrap w:val="0"/>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特此公告。</w:t>
      </w:r>
    </w:p>
    <w:p w14:paraId="7338CDA4">
      <w:pPr>
        <w:wordWrap w:val="0"/>
        <w:autoSpaceDE w:val="0"/>
        <w:autoSpaceDN w:val="0"/>
        <w:adjustRightInd w:val="0"/>
        <w:spacing w:line="360" w:lineRule="auto"/>
        <w:jc w:val="right"/>
        <w:rPr>
          <w:rFonts w:asciiTheme="minorEastAsia" w:hAnsiTheme="minorEastAsia" w:eastAsiaTheme="minorEastAsia"/>
          <w:kern w:val="0"/>
          <w:sz w:val="24"/>
          <w:szCs w:val="24"/>
        </w:rPr>
      </w:pPr>
      <w:r>
        <w:rPr>
          <w:rFonts w:asciiTheme="minorEastAsia" w:hAnsiTheme="minorEastAsia" w:eastAsiaTheme="minorEastAsia"/>
          <w:kern w:val="0"/>
          <w:sz w:val="24"/>
          <w:szCs w:val="24"/>
        </w:rPr>
        <w:t>华孚时尚股份有限公司</w:t>
      </w:r>
      <w:r>
        <w:rPr>
          <w:rFonts w:hint="eastAsia" w:asciiTheme="minorEastAsia" w:hAnsiTheme="minorEastAsia" w:eastAsiaTheme="minorEastAsia"/>
          <w:kern w:val="0"/>
          <w:sz w:val="24"/>
          <w:szCs w:val="24"/>
        </w:rPr>
        <w:t>监</w:t>
      </w:r>
      <w:r>
        <w:rPr>
          <w:rFonts w:asciiTheme="minorEastAsia" w:hAnsiTheme="minorEastAsia" w:eastAsiaTheme="minorEastAsia"/>
          <w:kern w:val="0"/>
          <w:sz w:val="24"/>
          <w:szCs w:val="24"/>
        </w:rPr>
        <w:t>事会</w:t>
      </w:r>
    </w:p>
    <w:p w14:paraId="4870B3C1">
      <w:pPr>
        <w:wordWrap w:val="0"/>
        <w:autoSpaceDE w:val="0"/>
        <w:autoSpaceDN w:val="0"/>
        <w:adjustRightInd w:val="0"/>
        <w:spacing w:line="360" w:lineRule="auto"/>
        <w:jc w:val="right"/>
        <w:rPr>
          <w:rFonts w:asciiTheme="minorEastAsia" w:hAnsiTheme="minorEastAsia" w:eastAsiaTheme="minorEastAsia"/>
          <w:sz w:val="24"/>
          <w:szCs w:val="24"/>
        </w:rPr>
      </w:pPr>
      <w:r>
        <w:rPr>
          <w:rFonts w:hint="eastAsia" w:asciiTheme="minorEastAsia" w:hAnsiTheme="minorEastAsia" w:eastAsiaTheme="minorEastAsia"/>
          <w:kern w:val="0"/>
          <w:sz w:val="24"/>
          <w:szCs w:val="24"/>
        </w:rPr>
        <w:t>二〇二五年四月二十六日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206E1"/>
    <w:rsid w:val="00026FFE"/>
    <w:rsid w:val="0005344A"/>
    <w:rsid w:val="0008107D"/>
    <w:rsid w:val="0008625E"/>
    <w:rsid w:val="000864CE"/>
    <w:rsid w:val="000A6D78"/>
    <w:rsid w:val="000C0C43"/>
    <w:rsid w:val="000D22DB"/>
    <w:rsid w:val="001107E2"/>
    <w:rsid w:val="00110CA2"/>
    <w:rsid w:val="00144A2C"/>
    <w:rsid w:val="00154E3A"/>
    <w:rsid w:val="00160828"/>
    <w:rsid w:val="00171561"/>
    <w:rsid w:val="00177ECD"/>
    <w:rsid w:val="001834CB"/>
    <w:rsid w:val="00195116"/>
    <w:rsid w:val="001A0BCD"/>
    <w:rsid w:val="001A3E9C"/>
    <w:rsid w:val="001B1F5B"/>
    <w:rsid w:val="001B5A70"/>
    <w:rsid w:val="001E6FD5"/>
    <w:rsid w:val="001F6696"/>
    <w:rsid w:val="00207EAD"/>
    <w:rsid w:val="00214B8A"/>
    <w:rsid w:val="00223CCB"/>
    <w:rsid w:val="002246F5"/>
    <w:rsid w:val="0023096C"/>
    <w:rsid w:val="00256CDB"/>
    <w:rsid w:val="00285668"/>
    <w:rsid w:val="002859D8"/>
    <w:rsid w:val="00287EF9"/>
    <w:rsid w:val="002922AE"/>
    <w:rsid w:val="00294B05"/>
    <w:rsid w:val="002A594C"/>
    <w:rsid w:val="002F6999"/>
    <w:rsid w:val="0031099D"/>
    <w:rsid w:val="00315D93"/>
    <w:rsid w:val="003332C1"/>
    <w:rsid w:val="00343E2B"/>
    <w:rsid w:val="0035301D"/>
    <w:rsid w:val="00356731"/>
    <w:rsid w:val="00373FBD"/>
    <w:rsid w:val="00386199"/>
    <w:rsid w:val="00393C63"/>
    <w:rsid w:val="003C4D6C"/>
    <w:rsid w:val="003D02E2"/>
    <w:rsid w:val="003D76D1"/>
    <w:rsid w:val="003E0EC6"/>
    <w:rsid w:val="003E3AAF"/>
    <w:rsid w:val="003F07F2"/>
    <w:rsid w:val="003F1D8B"/>
    <w:rsid w:val="003F5725"/>
    <w:rsid w:val="003F61CF"/>
    <w:rsid w:val="00401988"/>
    <w:rsid w:val="00407607"/>
    <w:rsid w:val="00410DAD"/>
    <w:rsid w:val="004311AF"/>
    <w:rsid w:val="00455FA0"/>
    <w:rsid w:val="00463401"/>
    <w:rsid w:val="00473C07"/>
    <w:rsid w:val="004839C0"/>
    <w:rsid w:val="0049715A"/>
    <w:rsid w:val="004D2E42"/>
    <w:rsid w:val="004D6190"/>
    <w:rsid w:val="004D6B82"/>
    <w:rsid w:val="004E3630"/>
    <w:rsid w:val="004E7761"/>
    <w:rsid w:val="004F40B5"/>
    <w:rsid w:val="004F782E"/>
    <w:rsid w:val="00517A92"/>
    <w:rsid w:val="00536616"/>
    <w:rsid w:val="005542F2"/>
    <w:rsid w:val="0058205C"/>
    <w:rsid w:val="00583371"/>
    <w:rsid w:val="005C6441"/>
    <w:rsid w:val="005E5A62"/>
    <w:rsid w:val="005E6B0D"/>
    <w:rsid w:val="0060189E"/>
    <w:rsid w:val="00602F1F"/>
    <w:rsid w:val="0060371E"/>
    <w:rsid w:val="00614BDA"/>
    <w:rsid w:val="0062112C"/>
    <w:rsid w:val="006252E8"/>
    <w:rsid w:val="00630782"/>
    <w:rsid w:val="0063636F"/>
    <w:rsid w:val="00641EC4"/>
    <w:rsid w:val="00656A75"/>
    <w:rsid w:val="00661370"/>
    <w:rsid w:val="00666BB4"/>
    <w:rsid w:val="00677B15"/>
    <w:rsid w:val="006822AB"/>
    <w:rsid w:val="00695BA7"/>
    <w:rsid w:val="006E26B4"/>
    <w:rsid w:val="006E6AFD"/>
    <w:rsid w:val="006F59DF"/>
    <w:rsid w:val="0070421E"/>
    <w:rsid w:val="00704E4B"/>
    <w:rsid w:val="00715FA9"/>
    <w:rsid w:val="00725030"/>
    <w:rsid w:val="007332C1"/>
    <w:rsid w:val="00737F5E"/>
    <w:rsid w:val="00775F96"/>
    <w:rsid w:val="00786BA7"/>
    <w:rsid w:val="007A3BBA"/>
    <w:rsid w:val="007B5ADC"/>
    <w:rsid w:val="00800207"/>
    <w:rsid w:val="00822E8C"/>
    <w:rsid w:val="00824DED"/>
    <w:rsid w:val="00832685"/>
    <w:rsid w:val="00841BE8"/>
    <w:rsid w:val="00862A46"/>
    <w:rsid w:val="00873A18"/>
    <w:rsid w:val="00873FC0"/>
    <w:rsid w:val="00894E27"/>
    <w:rsid w:val="00895AEA"/>
    <w:rsid w:val="008A11AD"/>
    <w:rsid w:val="008A7413"/>
    <w:rsid w:val="008C0B93"/>
    <w:rsid w:val="008C1526"/>
    <w:rsid w:val="008C3C6D"/>
    <w:rsid w:val="008D0625"/>
    <w:rsid w:val="008D2017"/>
    <w:rsid w:val="008D4E62"/>
    <w:rsid w:val="0090139C"/>
    <w:rsid w:val="00942363"/>
    <w:rsid w:val="00945509"/>
    <w:rsid w:val="0095138F"/>
    <w:rsid w:val="00961031"/>
    <w:rsid w:val="00961BC1"/>
    <w:rsid w:val="00962DAF"/>
    <w:rsid w:val="00964ED9"/>
    <w:rsid w:val="00974AE1"/>
    <w:rsid w:val="00982452"/>
    <w:rsid w:val="00985CBE"/>
    <w:rsid w:val="0099541F"/>
    <w:rsid w:val="009B3017"/>
    <w:rsid w:val="009D0419"/>
    <w:rsid w:val="009D7EF8"/>
    <w:rsid w:val="009E7022"/>
    <w:rsid w:val="009F3138"/>
    <w:rsid w:val="00A22881"/>
    <w:rsid w:val="00A45FE7"/>
    <w:rsid w:val="00A83FCE"/>
    <w:rsid w:val="00A90609"/>
    <w:rsid w:val="00A965CA"/>
    <w:rsid w:val="00AB1FB9"/>
    <w:rsid w:val="00AC1382"/>
    <w:rsid w:val="00AC3C01"/>
    <w:rsid w:val="00AC591E"/>
    <w:rsid w:val="00AC641F"/>
    <w:rsid w:val="00AF376D"/>
    <w:rsid w:val="00AF3958"/>
    <w:rsid w:val="00B05503"/>
    <w:rsid w:val="00B0637A"/>
    <w:rsid w:val="00B17025"/>
    <w:rsid w:val="00B17308"/>
    <w:rsid w:val="00B31118"/>
    <w:rsid w:val="00B315E6"/>
    <w:rsid w:val="00B34194"/>
    <w:rsid w:val="00B52369"/>
    <w:rsid w:val="00B66744"/>
    <w:rsid w:val="00B81AF0"/>
    <w:rsid w:val="00B94FE1"/>
    <w:rsid w:val="00BA6BC2"/>
    <w:rsid w:val="00BA7F76"/>
    <w:rsid w:val="00BC1901"/>
    <w:rsid w:val="00BF13AE"/>
    <w:rsid w:val="00C1661C"/>
    <w:rsid w:val="00C36560"/>
    <w:rsid w:val="00C428C4"/>
    <w:rsid w:val="00C461C7"/>
    <w:rsid w:val="00C6029B"/>
    <w:rsid w:val="00C60396"/>
    <w:rsid w:val="00C64093"/>
    <w:rsid w:val="00C80118"/>
    <w:rsid w:val="00C87C9D"/>
    <w:rsid w:val="00CD30E0"/>
    <w:rsid w:val="00CD3B82"/>
    <w:rsid w:val="00CF0030"/>
    <w:rsid w:val="00D12795"/>
    <w:rsid w:val="00D4119E"/>
    <w:rsid w:val="00D50F1C"/>
    <w:rsid w:val="00D73930"/>
    <w:rsid w:val="00D851B2"/>
    <w:rsid w:val="00D9044D"/>
    <w:rsid w:val="00D96BAB"/>
    <w:rsid w:val="00DA360D"/>
    <w:rsid w:val="00DD24DA"/>
    <w:rsid w:val="00E00515"/>
    <w:rsid w:val="00E0055E"/>
    <w:rsid w:val="00E157BD"/>
    <w:rsid w:val="00E25636"/>
    <w:rsid w:val="00E80868"/>
    <w:rsid w:val="00E958F2"/>
    <w:rsid w:val="00EC2BE2"/>
    <w:rsid w:val="00EC2C48"/>
    <w:rsid w:val="00EC759A"/>
    <w:rsid w:val="00ED64CD"/>
    <w:rsid w:val="00EF72C0"/>
    <w:rsid w:val="00F01039"/>
    <w:rsid w:val="00F06582"/>
    <w:rsid w:val="00F2210E"/>
    <w:rsid w:val="00F266A1"/>
    <w:rsid w:val="00F54AEF"/>
    <w:rsid w:val="00F561CB"/>
    <w:rsid w:val="00F758CC"/>
    <w:rsid w:val="00F913D4"/>
    <w:rsid w:val="00F96CE1"/>
    <w:rsid w:val="00FB6F06"/>
    <w:rsid w:val="00FB788F"/>
    <w:rsid w:val="00FB78C4"/>
    <w:rsid w:val="00FC798E"/>
    <w:rsid w:val="00FF3E7F"/>
    <w:rsid w:val="0F2D12B3"/>
    <w:rsid w:val="16D03928"/>
    <w:rsid w:val="236056F3"/>
    <w:rsid w:val="2E4C1A34"/>
    <w:rsid w:val="37362EDC"/>
    <w:rsid w:val="37CF5229"/>
    <w:rsid w:val="4038508B"/>
    <w:rsid w:val="5180445D"/>
    <w:rsid w:val="58361C31"/>
    <w:rsid w:val="5E9265E2"/>
    <w:rsid w:val="62A50745"/>
    <w:rsid w:val="6A9F40D1"/>
    <w:rsid w:val="6B392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autoRedefine/>
    <w:semiHidden/>
    <w:unhideWhenUsed/>
    <w:qFormat/>
    <w:uiPriority w:val="0"/>
    <w:pPr>
      <w:spacing w:line="600" w:lineRule="atLeast"/>
      <w:ind w:firstLine="560" w:firstLineChars="200"/>
    </w:pPr>
    <w:rPr>
      <w:rFonts w:ascii="Times New Roman" w:hAnsi="Times New Roman"/>
      <w:sz w:val="28"/>
      <w:szCs w:val="24"/>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autoRedefine/>
    <w:unhideWhenUsed/>
    <w:qFormat/>
    <w:uiPriority w:val="99"/>
    <w:rPr>
      <w:color w:val="0000FF"/>
      <w:u w:val="single"/>
    </w:rPr>
  </w:style>
  <w:style w:type="character" w:customStyle="1" w:styleId="8">
    <w:name w:val="页眉 Char"/>
    <w:basedOn w:val="6"/>
    <w:link w:val="4"/>
    <w:autoRedefine/>
    <w:qFormat/>
    <w:uiPriority w:val="99"/>
    <w:rPr>
      <w:rFonts w:ascii="Calibri" w:hAnsi="Calibri" w:eastAsia="宋体" w:cs="Times New Roman"/>
      <w:sz w:val="18"/>
      <w:szCs w:val="18"/>
    </w:rPr>
  </w:style>
  <w:style w:type="character" w:customStyle="1" w:styleId="9">
    <w:name w:val="页脚 Char"/>
    <w:basedOn w:val="6"/>
    <w:link w:val="3"/>
    <w:autoRedefine/>
    <w:qFormat/>
    <w:uiPriority w:val="99"/>
    <w:rPr>
      <w:rFonts w:ascii="Calibri" w:hAnsi="Calibri" w:eastAsia="宋体" w:cs="Times New Roman"/>
      <w:sz w:val="18"/>
      <w:szCs w:val="18"/>
    </w:rPr>
  </w:style>
  <w:style w:type="character" w:customStyle="1" w:styleId="10">
    <w:name w:val="正文文本缩进 Char"/>
    <w:basedOn w:val="6"/>
    <w:link w:val="2"/>
    <w:autoRedefine/>
    <w:semiHidden/>
    <w:qFormat/>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BF52C-178D-4E32-A51F-A39508FC5BC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2538</Words>
  <Characters>3146</Characters>
  <Lines>24</Lines>
  <Paragraphs>7</Paragraphs>
  <TotalTime>1</TotalTime>
  <ScaleCrop>false</ScaleCrop>
  <LinksUpToDate>false</LinksUpToDate>
  <CharactersWithSpaces>3175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2024-04-09T09:02:00Z</dcterms:created>
  <dc:creator>孙献</dc:creator>
  <cp:lastModifiedBy>WSY</cp:lastModifiedBy>
  <cp:lastPrinted>2018-04-16T11:42:00Z</cp:lastPrinted>
  <dcterms:modified xsi:type="dcterms:W3CDTF">2025-04-25T01:04:49Z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D61FAD70DD184FB3B3498C6E614D864F_12</vt:lpwstr>
  </property>
  <property fmtid="{D5CDD505-2E9C-101B-9397-08002B2CF9AE}" pid="4" name="KSOTemplateDocerSaveRecord">
    <vt:lpwstr>eyJoZGlkIjoiMGYyMzhhMzNmNzJhMTU4YjMxZTc1YjkyNzFjZGE5ZTciLCJ1c2VySWQiOiIyNjU0NTI1NDMifQ==</vt:lpwstr>
  </property>
</Properties>
</file>