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72943">
      <w:pPr>
        <w:wordWrap w:val="0"/>
        <w:spacing w:line="440" w:lineRule="exact"/>
        <w:jc w:val="center"/>
        <w:rPr>
          <w:rFonts w:ascii="黑体" w:hAnsi="黑体" w:eastAsia="黑体"/>
          <w:bCs/>
          <w:kern w:val="0"/>
          <w:szCs w:val="21"/>
        </w:rPr>
      </w:pPr>
      <w:r>
        <w:rPr>
          <w:rFonts w:ascii="黑体" w:hAnsi="黑体" w:eastAsia="黑体"/>
          <w:bCs/>
          <w:kern w:val="0"/>
          <w:szCs w:val="21"/>
        </w:rPr>
        <w:t xml:space="preserve">证券代码：002042    </w:t>
      </w:r>
      <w:r>
        <w:rPr>
          <w:rFonts w:hint="eastAsia" w:ascii="黑体" w:hAnsi="黑体" w:eastAsia="黑体"/>
          <w:bCs/>
          <w:kern w:val="0"/>
          <w:szCs w:val="21"/>
        </w:rPr>
        <w:t xml:space="preserve">  </w:t>
      </w:r>
      <w:r>
        <w:rPr>
          <w:rFonts w:ascii="黑体" w:hAnsi="黑体" w:eastAsia="黑体"/>
          <w:bCs/>
          <w:kern w:val="0"/>
          <w:szCs w:val="21"/>
        </w:rPr>
        <w:t xml:space="preserve">    </w:t>
      </w:r>
      <w:r>
        <w:rPr>
          <w:rFonts w:hint="eastAsia" w:ascii="黑体" w:hAnsi="黑体" w:eastAsia="黑体"/>
          <w:bCs/>
          <w:kern w:val="0"/>
          <w:szCs w:val="21"/>
        </w:rPr>
        <w:t xml:space="preserve">   </w:t>
      </w:r>
      <w:r>
        <w:rPr>
          <w:rFonts w:ascii="黑体" w:hAnsi="黑体" w:eastAsia="黑体"/>
          <w:bCs/>
          <w:kern w:val="0"/>
          <w:szCs w:val="21"/>
        </w:rPr>
        <w:t xml:space="preserve"> 证券简称：华孚时尚  </w:t>
      </w:r>
      <w:r>
        <w:rPr>
          <w:rFonts w:hint="eastAsia" w:ascii="黑体" w:hAnsi="黑体" w:eastAsia="黑体"/>
          <w:bCs/>
          <w:kern w:val="0"/>
          <w:szCs w:val="21"/>
        </w:rPr>
        <w:t xml:space="preserve">   </w:t>
      </w:r>
      <w:r>
        <w:rPr>
          <w:rFonts w:ascii="黑体" w:hAnsi="黑体" w:eastAsia="黑体"/>
          <w:bCs/>
          <w:kern w:val="0"/>
          <w:szCs w:val="21"/>
        </w:rPr>
        <w:t xml:space="preserve">  </w:t>
      </w:r>
      <w:r>
        <w:rPr>
          <w:rFonts w:hint="eastAsia" w:ascii="黑体" w:hAnsi="黑体" w:eastAsia="黑体"/>
          <w:bCs/>
          <w:kern w:val="0"/>
          <w:szCs w:val="21"/>
        </w:rPr>
        <w:t xml:space="preserve">    </w:t>
      </w:r>
      <w:r>
        <w:rPr>
          <w:rFonts w:ascii="黑体" w:hAnsi="黑体" w:eastAsia="黑体"/>
          <w:bCs/>
          <w:kern w:val="0"/>
          <w:szCs w:val="21"/>
        </w:rPr>
        <w:t xml:space="preserve">   公告编号：2</w:t>
      </w:r>
      <w:r>
        <w:rPr>
          <w:rFonts w:hint="eastAsia" w:ascii="黑体" w:hAnsi="黑体" w:eastAsia="黑体"/>
          <w:bCs/>
          <w:kern w:val="0"/>
          <w:szCs w:val="21"/>
        </w:rPr>
        <w:t>025-16</w:t>
      </w:r>
    </w:p>
    <w:p w14:paraId="01971000">
      <w:pPr>
        <w:wordWrap w:val="0"/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4"/>
          <w:szCs w:val="36"/>
        </w:rPr>
      </w:pPr>
    </w:p>
    <w:p w14:paraId="3D2693A8">
      <w:pPr>
        <w:wordWrap w:val="0"/>
        <w:autoSpaceDE w:val="0"/>
        <w:autoSpaceDN w:val="0"/>
        <w:adjustRightInd w:val="0"/>
        <w:jc w:val="center"/>
        <w:rPr>
          <w:rFonts w:ascii="Times New Roman" w:hAnsi="Times New Roman"/>
          <w:b/>
          <w:kern w:val="0"/>
          <w:sz w:val="36"/>
          <w:szCs w:val="36"/>
        </w:rPr>
      </w:pPr>
      <w:r>
        <w:rPr>
          <w:rFonts w:ascii="Times New Roman" w:hAnsi="Times New Roman"/>
          <w:b/>
          <w:kern w:val="0"/>
          <w:sz w:val="36"/>
          <w:szCs w:val="36"/>
        </w:rPr>
        <w:t>华孚时尚股份有限公司</w:t>
      </w:r>
    </w:p>
    <w:p w14:paraId="30C95B52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36"/>
          <w:szCs w:val="36"/>
        </w:rPr>
        <w:t>关于</w:t>
      </w:r>
      <w:r>
        <w:rPr>
          <w:rFonts w:hint="eastAsia" w:ascii="Times New Roman" w:hAnsi="Times New Roman"/>
          <w:b/>
          <w:kern w:val="0"/>
          <w:sz w:val="36"/>
          <w:szCs w:val="36"/>
        </w:rPr>
        <w:t>2024年度拟不进行利润分配的公告</w:t>
      </w:r>
    </w:p>
    <w:p w14:paraId="065F68A3">
      <w:pPr>
        <w:wordWrap w:val="0"/>
        <w:autoSpaceDE w:val="0"/>
        <w:autoSpaceDN w:val="0"/>
        <w:adjustRightInd w:val="0"/>
        <w:spacing w:before="156" w:beforeLines="50"/>
        <w:ind w:firstLine="480" w:firstLineChars="200"/>
        <w:jc w:val="left"/>
        <w:rPr>
          <w:rFonts w:ascii="Times New Roman" w:hAnsi="Times New Roman" w:eastAsia="楷体_GB2312"/>
          <w:kern w:val="0"/>
          <w:sz w:val="24"/>
          <w:szCs w:val="24"/>
        </w:rPr>
      </w:pPr>
      <w:r>
        <w:rPr>
          <w:rFonts w:ascii="Times New Roman" w:hAnsi="Times New Roman" w:eastAsia="楷体_GB2312"/>
          <w:kern w:val="0"/>
          <w:sz w:val="24"/>
          <w:szCs w:val="24"/>
        </w:rPr>
        <w:t>本公司及</w:t>
      </w:r>
      <w:r>
        <w:rPr>
          <w:rFonts w:hint="eastAsia" w:ascii="Times New Roman" w:hAnsi="Times New Roman" w:eastAsia="楷体_GB2312"/>
          <w:kern w:val="0"/>
          <w:sz w:val="24"/>
          <w:szCs w:val="24"/>
        </w:rPr>
        <w:t>董</w:t>
      </w:r>
      <w:r>
        <w:rPr>
          <w:rFonts w:ascii="Times New Roman" w:hAnsi="Times New Roman" w:eastAsia="楷体_GB2312"/>
          <w:kern w:val="0"/>
          <w:sz w:val="24"/>
          <w:szCs w:val="24"/>
        </w:rPr>
        <w:t>事会全体成员保证信息披露的内容真实、准确、完整，没有虚假记载、误导性陈述或重大遗漏。</w:t>
      </w:r>
    </w:p>
    <w:p w14:paraId="2FDF5475">
      <w:pPr>
        <w:wordWrap w:val="0"/>
        <w:spacing w:line="280" w:lineRule="exact"/>
        <w:rPr>
          <w:rFonts w:asciiTheme="minorEastAsia" w:hAnsiTheme="minorEastAsia" w:eastAsiaTheme="minorEastAsia"/>
          <w:kern w:val="0"/>
          <w:sz w:val="2"/>
          <w:szCs w:val="24"/>
        </w:rPr>
      </w:pPr>
    </w:p>
    <w:p w14:paraId="79EB792D">
      <w:pPr>
        <w:spacing w:line="360" w:lineRule="auto"/>
        <w:ind w:firstLine="480" w:firstLineChars="200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华孚时尚股份有限公司（以下简称“公司”）于2025年4月24日召开公司第九届董事会第一次会议，第九届监事会第二次会议，审议通过《2024年利润分配预案的议案》，本次利润分配方案尚需提交股东大会审议。具体情况如下：</w:t>
      </w:r>
    </w:p>
    <w:p w14:paraId="1571BE0E">
      <w:pPr>
        <w:widowControl/>
        <w:shd w:val="clear" w:color="auto" w:fill="FFFFFF"/>
        <w:spacing w:line="360" w:lineRule="auto"/>
        <w:ind w:firstLine="482" w:firstLineChars="200"/>
        <w:rPr>
          <w:rFonts w:asciiTheme="minorEastAsia" w:hAnsiTheme="minorEastAsia" w:eastAsiaTheme="minorEastAsia"/>
          <w:b/>
          <w:bCs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kern w:val="0"/>
          <w:sz w:val="24"/>
          <w:szCs w:val="24"/>
        </w:rPr>
        <w:t>一、2024年度利润分配预案基本情况</w:t>
      </w:r>
    </w:p>
    <w:p w14:paraId="15DC5A3F"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报告期内，经政旦志远（深圳）会计师事务所（特殊普通合伙）审计，公司实现归属于母公司股东的净利润为-20,776.50万元，期末可供全体股东分配的利润为141,556.69万元。</w:t>
      </w:r>
    </w:p>
    <w:p w14:paraId="294EC82E"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公司2024年度利润分配预案为：不派发现金红利，不送红股，不以资本公积金转增股本。</w:t>
      </w:r>
    </w:p>
    <w:p w14:paraId="76A5CD23">
      <w:pPr>
        <w:widowControl/>
        <w:numPr>
          <w:ilvl w:val="0"/>
          <w:numId w:val="1"/>
        </w:numPr>
        <w:shd w:val="clear" w:color="auto" w:fill="FFFFFF"/>
        <w:spacing w:line="360" w:lineRule="auto"/>
        <w:ind w:firstLine="482" w:firstLineChars="200"/>
        <w:rPr>
          <w:rFonts w:asciiTheme="minorEastAsia" w:hAnsiTheme="minorEastAsia" w:eastAsiaTheme="minorEastAsia"/>
          <w:b/>
          <w:bCs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kern w:val="0"/>
          <w:sz w:val="24"/>
          <w:szCs w:val="24"/>
        </w:rPr>
        <w:t>现金分红方案的具体情况</w:t>
      </w:r>
    </w:p>
    <w:p w14:paraId="2433B708">
      <w:pPr>
        <w:pStyle w:val="2"/>
        <w:spacing w:line="360" w:lineRule="auto"/>
        <w:ind w:firstLine="480" w:firstLineChars="200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1、公司2024年度利润分配预案不触及其他风险警示情形</w:t>
      </w:r>
    </w:p>
    <w:tbl>
      <w:tblPr>
        <w:tblStyle w:val="8"/>
        <w:tblW w:w="8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2020"/>
        <w:gridCol w:w="1822"/>
        <w:gridCol w:w="2038"/>
      </w:tblGrid>
      <w:tr w14:paraId="399D1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CE09D"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项目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B41E7"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本年度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2903A"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上年度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C96545"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上上年度</w:t>
            </w:r>
          </w:p>
        </w:tc>
      </w:tr>
      <w:tr w14:paraId="476FA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41785"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现金分红总额（元）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BCA91">
            <w:pPr>
              <w:jc w:val="righ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49,761,288.97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532FA">
            <w:pPr>
              <w:jc w:val="righ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75A4B">
            <w:pPr>
              <w:jc w:val="righ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303,778,215.90</w:t>
            </w:r>
          </w:p>
        </w:tc>
      </w:tr>
      <w:tr w14:paraId="54EE1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32C7C"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回购注销总额（元）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BAEFD">
            <w:pPr>
              <w:jc w:val="righ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0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1B6A2">
            <w:pPr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0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2FEC7">
            <w:pPr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0</w:t>
            </w:r>
          </w:p>
        </w:tc>
      </w:tr>
      <w:tr w14:paraId="47735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8C557"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归属于上市公司股东的净利润（元）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3A993">
            <w:pPr>
              <w:jc w:val="righ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-207,764,974.56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4A0D5">
            <w:pPr>
              <w:jc w:val="righ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66,782,080.49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A1C48">
            <w:pPr>
              <w:jc w:val="righ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-350,313,894.56</w:t>
            </w:r>
          </w:p>
        </w:tc>
      </w:tr>
      <w:tr w14:paraId="13E0B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0ECE5">
            <w:pPr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合并报表本年度末累计未分配利润（元）</w:t>
            </w:r>
          </w:p>
        </w:tc>
        <w:tc>
          <w:tcPr>
            <w:tcW w:w="3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3DB95">
            <w:pPr>
              <w:jc w:val="righ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1,415,566,855.48</w:t>
            </w:r>
          </w:p>
        </w:tc>
      </w:tr>
      <w:tr w14:paraId="0E31F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0AB69">
            <w:pPr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母公司报表本年度末累计未分配利润（元）</w:t>
            </w:r>
          </w:p>
        </w:tc>
        <w:tc>
          <w:tcPr>
            <w:tcW w:w="3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62373">
            <w:pPr>
              <w:jc w:val="righ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509,777,501.50</w:t>
            </w:r>
          </w:p>
        </w:tc>
      </w:tr>
      <w:tr w14:paraId="50A96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43A82">
            <w:pPr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上市是否满三个完整会计年度</w:t>
            </w:r>
          </w:p>
        </w:tc>
        <w:tc>
          <w:tcPr>
            <w:tcW w:w="3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50AC4">
            <w:pPr>
              <w:jc w:val="righ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是</w:t>
            </w:r>
          </w:p>
        </w:tc>
      </w:tr>
      <w:tr w14:paraId="1D8A8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55680">
            <w:pPr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最近三个会计年度累计现金分红总额（元）</w:t>
            </w:r>
          </w:p>
        </w:tc>
        <w:tc>
          <w:tcPr>
            <w:tcW w:w="3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43FC6">
            <w:pPr>
              <w:jc w:val="righ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353,539,504.87</w:t>
            </w:r>
          </w:p>
        </w:tc>
      </w:tr>
      <w:tr w14:paraId="34265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550AD">
            <w:pPr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最近三个会计年度累计回购注销总额（元）</w:t>
            </w:r>
          </w:p>
        </w:tc>
        <w:tc>
          <w:tcPr>
            <w:tcW w:w="3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49761">
            <w:pPr>
              <w:jc w:val="righ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0</w:t>
            </w:r>
          </w:p>
        </w:tc>
      </w:tr>
      <w:tr w14:paraId="525BA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4778B">
            <w:pPr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最近三个会计年度平均净利润（元）</w:t>
            </w:r>
          </w:p>
        </w:tc>
        <w:tc>
          <w:tcPr>
            <w:tcW w:w="3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072E0">
            <w:pPr>
              <w:jc w:val="righ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  -163,765,596.21 </w:t>
            </w:r>
          </w:p>
        </w:tc>
      </w:tr>
      <w:tr w14:paraId="53D0D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C4B25">
            <w:pPr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最近三个会计年度累计现金分红及回购注销总额（元）</w:t>
            </w:r>
          </w:p>
        </w:tc>
        <w:tc>
          <w:tcPr>
            <w:tcW w:w="3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898F0">
            <w:pPr>
              <w:jc w:val="righ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353,539,504.87</w:t>
            </w:r>
          </w:p>
        </w:tc>
      </w:tr>
      <w:tr w14:paraId="0ABBB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C6979">
            <w:pPr>
              <w:jc w:val="left"/>
              <w:rPr>
                <w:rFonts w:asciiTheme="minorEastAsia" w:hAnsiTheme="minorEastAsia" w:eastAsia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</w:rPr>
              <w:t>是否触及《股票上市规则》第9.8.1条第（九）项规定的可能被实施其他风险警示情形</w:t>
            </w:r>
          </w:p>
        </w:tc>
        <w:tc>
          <w:tcPr>
            <w:tcW w:w="3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6E9AA">
            <w:pPr>
              <w:jc w:val="righ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否</w:t>
            </w:r>
          </w:p>
        </w:tc>
      </w:tr>
    </w:tbl>
    <w:p w14:paraId="6EBD2ED3">
      <w:pPr>
        <w:widowControl/>
        <w:shd w:val="clear" w:color="auto" w:fill="FFFFFF"/>
        <w:spacing w:line="500" w:lineRule="exact"/>
        <w:ind w:firstLine="480" w:firstLineChars="200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2、</w:t>
      </w:r>
      <w:r>
        <w:rPr>
          <w:rFonts w:ascii="宋体" w:hAnsi="宋体" w:cs="宋体"/>
          <w:sz w:val="24"/>
          <w:szCs w:val="24"/>
        </w:rPr>
        <w:t>公司最近一个会计年度净利润为</w:t>
      </w:r>
      <w:r>
        <w:rPr>
          <w:rFonts w:hint="eastAsia" w:ascii="宋体" w:hAnsi="宋体" w:cs="宋体"/>
          <w:sz w:val="24"/>
          <w:szCs w:val="24"/>
        </w:rPr>
        <w:t>负值</w:t>
      </w:r>
      <w:r>
        <w:rPr>
          <w:rFonts w:ascii="宋体" w:hAnsi="宋体" w:cs="宋体"/>
          <w:sz w:val="24"/>
          <w:szCs w:val="24"/>
        </w:rPr>
        <w:t>，</w:t>
      </w:r>
      <w:r>
        <w:rPr>
          <w:rFonts w:hint="eastAsia" w:ascii="宋体" w:hAnsi="宋体" w:cs="宋体"/>
          <w:sz w:val="24"/>
          <w:szCs w:val="24"/>
        </w:rPr>
        <w:t>且</w:t>
      </w:r>
      <w:r>
        <w:rPr>
          <w:rFonts w:ascii="宋体" w:hAnsi="宋体" w:cs="宋体"/>
          <w:sz w:val="24"/>
          <w:szCs w:val="24"/>
        </w:rPr>
        <w:t>最近三个会计年度累计现金分红总额为</w:t>
      </w:r>
      <w:r>
        <w:rPr>
          <w:rFonts w:hint="eastAsia" w:ascii="宋体" w:hAnsi="宋体" w:cs="宋体"/>
          <w:sz w:val="24"/>
          <w:szCs w:val="24"/>
        </w:rPr>
        <w:t>353,539,504.87</w:t>
      </w:r>
      <w:r>
        <w:rPr>
          <w:rFonts w:ascii="宋体" w:hAnsi="宋体" w:cs="宋体"/>
          <w:sz w:val="24"/>
          <w:szCs w:val="24"/>
        </w:rPr>
        <w:t>元，高于最近三个会计年度年均净利润的30%，未触及《深圳证券交易所股票上市规则》第9.</w:t>
      </w:r>
      <w:r>
        <w:rPr>
          <w:rFonts w:hint="eastAsia" w:ascii="宋体" w:hAnsi="宋体" w:cs="宋体"/>
          <w:sz w:val="24"/>
          <w:szCs w:val="24"/>
        </w:rPr>
        <w:t>8.1</w:t>
      </w:r>
      <w:r>
        <w:rPr>
          <w:rFonts w:ascii="宋体" w:hAnsi="宋体" w:cs="宋体"/>
          <w:sz w:val="24"/>
          <w:szCs w:val="24"/>
        </w:rPr>
        <w:t>条第（</w:t>
      </w:r>
      <w:r>
        <w:rPr>
          <w:rFonts w:hint="eastAsia" w:ascii="宋体" w:hAnsi="宋体" w:cs="宋体"/>
          <w:sz w:val="24"/>
          <w:szCs w:val="24"/>
        </w:rPr>
        <w:t>九</w:t>
      </w:r>
      <w:r>
        <w:rPr>
          <w:rFonts w:ascii="宋体" w:hAnsi="宋体" w:cs="宋体"/>
          <w:sz w:val="24"/>
          <w:szCs w:val="24"/>
        </w:rPr>
        <w:t>）项规定的可能被实施其他风险警示情形。</w:t>
      </w:r>
    </w:p>
    <w:p w14:paraId="27D7AA75">
      <w:pPr>
        <w:widowControl/>
        <w:shd w:val="clear" w:color="auto" w:fill="FFFFFF"/>
        <w:spacing w:line="500" w:lineRule="exact"/>
        <w:ind w:firstLine="482" w:firstLineChars="200"/>
        <w:jc w:val="left"/>
        <w:rPr>
          <w:rFonts w:asciiTheme="minorEastAsia" w:hAnsiTheme="minorEastAsia" w:eastAsiaTheme="minorEastAsia"/>
          <w:b/>
          <w:bCs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kern w:val="0"/>
          <w:sz w:val="24"/>
          <w:szCs w:val="24"/>
        </w:rPr>
        <w:t>三、现金分红方案合理性说明</w:t>
      </w:r>
    </w:p>
    <w:p w14:paraId="75CEA72E">
      <w:pPr>
        <w:numPr>
          <w:ilvl w:val="0"/>
          <w:numId w:val="2"/>
        </w:num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公司</w:t>
      </w:r>
      <w:r>
        <w:rPr>
          <w:rFonts w:hint="eastAsia" w:ascii="宋体" w:hAnsi="宋体" w:cs="宋体"/>
          <w:sz w:val="24"/>
          <w:szCs w:val="24"/>
        </w:rPr>
        <w:t>于2024年10月30日召开的第八届董事会第九次会议、第八届监事 会第二十四次会议及2024年11月15日召开的2024年第一次临时股东大会审议通过《关于公司2024年三季度利润分配预案的议案》，分配方案为：以公司现有总股本剔除已回购股份95,478,485股后的1,605,202,870股为基数，每10股派发现金股利0.31元（含税），不送红股，不以资本公积转增股本。共计派发现金红利49,761,288.97元。上述利润分配预案已于2024年11月26日实施完毕。</w:t>
      </w:r>
    </w:p>
    <w:p w14:paraId="60D9B4FF">
      <w:pPr>
        <w:numPr>
          <w:ilvl w:val="0"/>
          <w:numId w:val="2"/>
        </w:num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公司2024年归属于上市公司股东的净利润为负值，为保障公司可持续发展，更好地维护全体股东的长远利益，公司2024年度拟</w:t>
      </w:r>
      <w:r>
        <w:rPr>
          <w:rFonts w:hint="eastAsia" w:ascii="宋体" w:hAnsi="宋体" w:cs="宋体"/>
          <w:kern w:val="0"/>
          <w:sz w:val="24"/>
          <w:szCs w:val="24"/>
        </w:rPr>
        <w:t>不派发现金红利，不送红股，不以资本公积金转增股本。</w:t>
      </w:r>
    </w:p>
    <w:p w14:paraId="31F8352E">
      <w:pPr>
        <w:pStyle w:val="2"/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公司本次利润分配预案符合《公司法》、中国证监会《上市公司监管指引第3号—上市公司现金分红》、《公司章程》的有关规定，符合公司</w:t>
      </w:r>
      <w:r>
        <w:rPr>
          <w:rFonts w:hint="eastAsia" w:ascii="宋体" w:hAnsi="宋体" w:cs="宋体"/>
          <w:sz w:val="24"/>
          <w:szCs w:val="24"/>
        </w:rPr>
        <w:t>《未来三年（2024-2026年）股东回报规划》的规定。</w:t>
      </w:r>
    </w:p>
    <w:p w14:paraId="65DB2E50">
      <w:pPr>
        <w:spacing w:line="360" w:lineRule="auto"/>
        <w:ind w:firstLine="480" w:firstLineChars="200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公司2024年度未分配利润滚存至下一年度，以满足公司一般营运资金和未来利润分配的需要。今后，公司将一如既往地重视以现金分红方式对股东进行回报，严格遵守相关法律法规以及《公司章程》的规定，综合考虑与利润分配相关的各种因素，从有利于公司发展和股东回报的角度出发，积极履行公司的利润分配政策，与广大投资者共享公司发展的成果。</w:t>
      </w:r>
    </w:p>
    <w:p w14:paraId="1B7B3CED">
      <w:pPr>
        <w:spacing w:line="360" w:lineRule="auto"/>
        <w:ind w:firstLine="482" w:firstLineChars="200"/>
        <w:rPr>
          <w:rFonts w:asciiTheme="minorEastAsia" w:hAnsiTheme="minorEastAsia" w:eastAsiaTheme="minorEastAsia"/>
          <w:b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kern w:val="0"/>
          <w:sz w:val="24"/>
          <w:szCs w:val="24"/>
          <w:lang w:val="en-US" w:eastAsia="zh-CN"/>
        </w:rPr>
        <w:t>四、</w:t>
      </w:r>
      <w:bookmarkStart w:id="0" w:name="_GoBack"/>
      <w:bookmarkEnd w:id="0"/>
      <w:r>
        <w:rPr>
          <w:rFonts w:hint="eastAsia" w:asciiTheme="minorEastAsia" w:hAnsiTheme="minorEastAsia" w:eastAsiaTheme="minorEastAsia"/>
          <w:b/>
          <w:kern w:val="0"/>
          <w:sz w:val="24"/>
          <w:szCs w:val="24"/>
        </w:rPr>
        <w:t>备查文件</w:t>
      </w:r>
    </w:p>
    <w:p w14:paraId="7BA4BF96">
      <w:pPr>
        <w:spacing w:line="360" w:lineRule="auto"/>
        <w:ind w:firstLine="480" w:firstLineChars="200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1、第九届董事会第一次会议决议；</w:t>
      </w:r>
    </w:p>
    <w:p w14:paraId="3ABCD7F6">
      <w:pPr>
        <w:spacing w:line="360" w:lineRule="auto"/>
        <w:ind w:firstLine="480" w:firstLineChars="200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2、第九届监事会第二次会议决议；</w:t>
      </w:r>
    </w:p>
    <w:p w14:paraId="7A0D5550">
      <w:pPr>
        <w:pStyle w:val="2"/>
        <w:spacing w:line="360" w:lineRule="auto"/>
        <w:ind w:firstLine="480" w:firstLineChars="200"/>
        <w:rPr>
          <w:rFonts w:eastAsiaTheme="minorEastAsia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3、第九届董事会独立董事2025年第一次专门会议决议。</w:t>
      </w:r>
    </w:p>
    <w:p w14:paraId="4EDDCF04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>特此公告。</w:t>
      </w:r>
    </w:p>
    <w:p w14:paraId="48539D70">
      <w:pPr>
        <w:autoSpaceDE w:val="0"/>
        <w:autoSpaceDN w:val="0"/>
        <w:adjustRightInd w:val="0"/>
        <w:spacing w:line="500" w:lineRule="exact"/>
        <w:jc w:val="righ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>华孚时尚股份有限公司</w:t>
      </w: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董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事会</w:t>
      </w:r>
    </w:p>
    <w:p w14:paraId="447B0584">
      <w:pPr>
        <w:autoSpaceDE w:val="0"/>
        <w:autoSpaceDN w:val="0"/>
        <w:adjustRightInd w:val="0"/>
        <w:spacing w:line="500" w:lineRule="exact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二〇二五年四月二十六日</w:t>
      </w:r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3BD7EB"/>
    <w:multiLevelType w:val="singleLevel"/>
    <w:tmpl w:val="E53BD7E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EB69307"/>
    <w:multiLevelType w:val="singleLevel"/>
    <w:tmpl w:val="3EB6930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lODY1MzA0YjNiZDMyMmRlYTlhMDJhYzZhZDQ5ODgifQ=="/>
  </w:docVars>
  <w:rsids>
    <w:rsidRoot w:val="006E6AFD"/>
    <w:rsid w:val="00011431"/>
    <w:rsid w:val="00030938"/>
    <w:rsid w:val="0005344A"/>
    <w:rsid w:val="00072F72"/>
    <w:rsid w:val="00073ED7"/>
    <w:rsid w:val="00077B55"/>
    <w:rsid w:val="000864CE"/>
    <w:rsid w:val="000A59A0"/>
    <w:rsid w:val="000D5198"/>
    <w:rsid w:val="000E0DC2"/>
    <w:rsid w:val="000E1CB2"/>
    <w:rsid w:val="000F2525"/>
    <w:rsid w:val="000F31DF"/>
    <w:rsid w:val="00101C2A"/>
    <w:rsid w:val="00103E9A"/>
    <w:rsid w:val="0010472C"/>
    <w:rsid w:val="00107892"/>
    <w:rsid w:val="00110CA2"/>
    <w:rsid w:val="001170BC"/>
    <w:rsid w:val="001454CC"/>
    <w:rsid w:val="00147F04"/>
    <w:rsid w:val="00154780"/>
    <w:rsid w:val="001565E4"/>
    <w:rsid w:val="00160828"/>
    <w:rsid w:val="00162FE4"/>
    <w:rsid w:val="001657EE"/>
    <w:rsid w:val="00171561"/>
    <w:rsid w:val="00172BC2"/>
    <w:rsid w:val="001834CB"/>
    <w:rsid w:val="00184D4F"/>
    <w:rsid w:val="00195116"/>
    <w:rsid w:val="001A4B2A"/>
    <w:rsid w:val="001A5C47"/>
    <w:rsid w:val="001C4E9E"/>
    <w:rsid w:val="001D207D"/>
    <w:rsid w:val="001D47AE"/>
    <w:rsid w:val="001E415C"/>
    <w:rsid w:val="001E7C24"/>
    <w:rsid w:val="001F19DA"/>
    <w:rsid w:val="00200603"/>
    <w:rsid w:val="00224527"/>
    <w:rsid w:val="00245473"/>
    <w:rsid w:val="0024564C"/>
    <w:rsid w:val="00260090"/>
    <w:rsid w:val="00287EF9"/>
    <w:rsid w:val="00291FA9"/>
    <w:rsid w:val="002B0F5F"/>
    <w:rsid w:val="002B7A5A"/>
    <w:rsid w:val="002D5BE1"/>
    <w:rsid w:val="002D792A"/>
    <w:rsid w:val="002F636E"/>
    <w:rsid w:val="00301B70"/>
    <w:rsid w:val="00317FC5"/>
    <w:rsid w:val="00331750"/>
    <w:rsid w:val="0034603E"/>
    <w:rsid w:val="00355227"/>
    <w:rsid w:val="0037195C"/>
    <w:rsid w:val="003B336E"/>
    <w:rsid w:val="003C7D52"/>
    <w:rsid w:val="003D122A"/>
    <w:rsid w:val="003D3C49"/>
    <w:rsid w:val="003D4FDA"/>
    <w:rsid w:val="003D6B08"/>
    <w:rsid w:val="003D76D1"/>
    <w:rsid w:val="003E3AAF"/>
    <w:rsid w:val="003F4E82"/>
    <w:rsid w:val="00407607"/>
    <w:rsid w:val="00416B62"/>
    <w:rsid w:val="004177B7"/>
    <w:rsid w:val="00422395"/>
    <w:rsid w:val="004311AF"/>
    <w:rsid w:val="00454A85"/>
    <w:rsid w:val="00456FB5"/>
    <w:rsid w:val="00462EA2"/>
    <w:rsid w:val="00481418"/>
    <w:rsid w:val="004B6727"/>
    <w:rsid w:val="004D6190"/>
    <w:rsid w:val="004E7761"/>
    <w:rsid w:val="004F40B5"/>
    <w:rsid w:val="004F782E"/>
    <w:rsid w:val="00513CD5"/>
    <w:rsid w:val="00515F86"/>
    <w:rsid w:val="0052141F"/>
    <w:rsid w:val="00521776"/>
    <w:rsid w:val="00523EE7"/>
    <w:rsid w:val="0052401C"/>
    <w:rsid w:val="005262A3"/>
    <w:rsid w:val="005262D9"/>
    <w:rsid w:val="00533D5E"/>
    <w:rsid w:val="005509DA"/>
    <w:rsid w:val="0056077C"/>
    <w:rsid w:val="00563FDE"/>
    <w:rsid w:val="0056582B"/>
    <w:rsid w:val="00575FD2"/>
    <w:rsid w:val="00583371"/>
    <w:rsid w:val="005A5D4F"/>
    <w:rsid w:val="005C3288"/>
    <w:rsid w:val="005C6441"/>
    <w:rsid w:val="005D1C24"/>
    <w:rsid w:val="005E566C"/>
    <w:rsid w:val="00602F1F"/>
    <w:rsid w:val="0060371E"/>
    <w:rsid w:val="00613DFD"/>
    <w:rsid w:val="00624B96"/>
    <w:rsid w:val="00630782"/>
    <w:rsid w:val="00634590"/>
    <w:rsid w:val="0065306D"/>
    <w:rsid w:val="006548D6"/>
    <w:rsid w:val="00663FE3"/>
    <w:rsid w:val="00666BB4"/>
    <w:rsid w:val="00677B15"/>
    <w:rsid w:val="006822AB"/>
    <w:rsid w:val="00697179"/>
    <w:rsid w:val="006A0333"/>
    <w:rsid w:val="006A0754"/>
    <w:rsid w:val="006E6AFD"/>
    <w:rsid w:val="006F311D"/>
    <w:rsid w:val="006F3BB5"/>
    <w:rsid w:val="006F59DF"/>
    <w:rsid w:val="00700436"/>
    <w:rsid w:val="00704E4B"/>
    <w:rsid w:val="00706B44"/>
    <w:rsid w:val="0071197D"/>
    <w:rsid w:val="00737F5E"/>
    <w:rsid w:val="0074750C"/>
    <w:rsid w:val="00757D85"/>
    <w:rsid w:val="00785BE0"/>
    <w:rsid w:val="0079740D"/>
    <w:rsid w:val="0079769C"/>
    <w:rsid w:val="007B6971"/>
    <w:rsid w:val="007C0D39"/>
    <w:rsid w:val="007D5132"/>
    <w:rsid w:val="007E2872"/>
    <w:rsid w:val="00804FA6"/>
    <w:rsid w:val="0082077B"/>
    <w:rsid w:val="00822CF9"/>
    <w:rsid w:val="00822E8C"/>
    <w:rsid w:val="00824DED"/>
    <w:rsid w:val="00826D6E"/>
    <w:rsid w:val="00832685"/>
    <w:rsid w:val="008334EC"/>
    <w:rsid w:val="00837AF9"/>
    <w:rsid w:val="00841BE8"/>
    <w:rsid w:val="00847235"/>
    <w:rsid w:val="00862A46"/>
    <w:rsid w:val="008720A2"/>
    <w:rsid w:val="008844C0"/>
    <w:rsid w:val="00885310"/>
    <w:rsid w:val="008854D1"/>
    <w:rsid w:val="008C3C6D"/>
    <w:rsid w:val="008D13DD"/>
    <w:rsid w:val="008D4E62"/>
    <w:rsid w:val="008E739A"/>
    <w:rsid w:val="00921C1A"/>
    <w:rsid w:val="009306AA"/>
    <w:rsid w:val="0093215B"/>
    <w:rsid w:val="00932963"/>
    <w:rsid w:val="00942452"/>
    <w:rsid w:val="0095138F"/>
    <w:rsid w:val="00952E83"/>
    <w:rsid w:val="00957BE8"/>
    <w:rsid w:val="00962675"/>
    <w:rsid w:val="00974AE1"/>
    <w:rsid w:val="0098134C"/>
    <w:rsid w:val="00984D7B"/>
    <w:rsid w:val="00985BAD"/>
    <w:rsid w:val="00985CBE"/>
    <w:rsid w:val="00993E83"/>
    <w:rsid w:val="009D0419"/>
    <w:rsid w:val="009D7EF8"/>
    <w:rsid w:val="009F0741"/>
    <w:rsid w:val="009F23F9"/>
    <w:rsid w:val="009F6B32"/>
    <w:rsid w:val="00A02886"/>
    <w:rsid w:val="00A137E7"/>
    <w:rsid w:val="00A22881"/>
    <w:rsid w:val="00A2438E"/>
    <w:rsid w:val="00A2788A"/>
    <w:rsid w:val="00A35185"/>
    <w:rsid w:val="00A358EB"/>
    <w:rsid w:val="00A45FE7"/>
    <w:rsid w:val="00A66C04"/>
    <w:rsid w:val="00A70486"/>
    <w:rsid w:val="00A74B9F"/>
    <w:rsid w:val="00A76D9B"/>
    <w:rsid w:val="00A808C2"/>
    <w:rsid w:val="00A83FCE"/>
    <w:rsid w:val="00A93A80"/>
    <w:rsid w:val="00AC3C01"/>
    <w:rsid w:val="00AC591E"/>
    <w:rsid w:val="00AC63A0"/>
    <w:rsid w:val="00AC641F"/>
    <w:rsid w:val="00AD43A4"/>
    <w:rsid w:val="00AF376D"/>
    <w:rsid w:val="00B315E6"/>
    <w:rsid w:val="00B34194"/>
    <w:rsid w:val="00B4132A"/>
    <w:rsid w:val="00B6381E"/>
    <w:rsid w:val="00B66744"/>
    <w:rsid w:val="00B77A41"/>
    <w:rsid w:val="00B93FC3"/>
    <w:rsid w:val="00BA6BC2"/>
    <w:rsid w:val="00BA7F76"/>
    <w:rsid w:val="00BB3F3F"/>
    <w:rsid w:val="00BF13AE"/>
    <w:rsid w:val="00BF23F9"/>
    <w:rsid w:val="00BF29C0"/>
    <w:rsid w:val="00C019E6"/>
    <w:rsid w:val="00C21C42"/>
    <w:rsid w:val="00C428C4"/>
    <w:rsid w:val="00C506F0"/>
    <w:rsid w:val="00C50F47"/>
    <w:rsid w:val="00C53991"/>
    <w:rsid w:val="00C55B84"/>
    <w:rsid w:val="00C60F60"/>
    <w:rsid w:val="00C6218A"/>
    <w:rsid w:val="00C75216"/>
    <w:rsid w:val="00C80118"/>
    <w:rsid w:val="00C948A6"/>
    <w:rsid w:val="00CA1056"/>
    <w:rsid w:val="00CA33F7"/>
    <w:rsid w:val="00CB7DB4"/>
    <w:rsid w:val="00CD75CF"/>
    <w:rsid w:val="00CF0030"/>
    <w:rsid w:val="00D0411A"/>
    <w:rsid w:val="00D12795"/>
    <w:rsid w:val="00D40684"/>
    <w:rsid w:val="00D611C6"/>
    <w:rsid w:val="00D70B6D"/>
    <w:rsid w:val="00D744A3"/>
    <w:rsid w:val="00D75F4A"/>
    <w:rsid w:val="00D851B2"/>
    <w:rsid w:val="00D872DE"/>
    <w:rsid w:val="00D9258B"/>
    <w:rsid w:val="00DA1675"/>
    <w:rsid w:val="00DA360D"/>
    <w:rsid w:val="00DA47B9"/>
    <w:rsid w:val="00DB4173"/>
    <w:rsid w:val="00DC20B4"/>
    <w:rsid w:val="00DC6B4F"/>
    <w:rsid w:val="00DD30B7"/>
    <w:rsid w:val="00DE734B"/>
    <w:rsid w:val="00DF0348"/>
    <w:rsid w:val="00E20730"/>
    <w:rsid w:val="00E330A1"/>
    <w:rsid w:val="00E37C18"/>
    <w:rsid w:val="00E4514F"/>
    <w:rsid w:val="00E6615D"/>
    <w:rsid w:val="00E7656F"/>
    <w:rsid w:val="00E85137"/>
    <w:rsid w:val="00EB21D5"/>
    <w:rsid w:val="00EB6C78"/>
    <w:rsid w:val="00EC22DF"/>
    <w:rsid w:val="00EE7C11"/>
    <w:rsid w:val="00F01039"/>
    <w:rsid w:val="00F05EB9"/>
    <w:rsid w:val="00F05FA4"/>
    <w:rsid w:val="00F0735F"/>
    <w:rsid w:val="00F46110"/>
    <w:rsid w:val="00F54AEF"/>
    <w:rsid w:val="00F70C8D"/>
    <w:rsid w:val="00F72AD4"/>
    <w:rsid w:val="00F737FF"/>
    <w:rsid w:val="00F758CC"/>
    <w:rsid w:val="00F8199E"/>
    <w:rsid w:val="00F911CF"/>
    <w:rsid w:val="00F96CE1"/>
    <w:rsid w:val="00FB6F06"/>
    <w:rsid w:val="00FC798E"/>
    <w:rsid w:val="00FD39EE"/>
    <w:rsid w:val="06C46692"/>
    <w:rsid w:val="074F5C7D"/>
    <w:rsid w:val="0AE501A1"/>
    <w:rsid w:val="0CC779D3"/>
    <w:rsid w:val="1B9C782E"/>
    <w:rsid w:val="224071BE"/>
    <w:rsid w:val="252B130A"/>
    <w:rsid w:val="28FF7F52"/>
    <w:rsid w:val="2B05199B"/>
    <w:rsid w:val="384F24A7"/>
    <w:rsid w:val="3C3A3445"/>
    <w:rsid w:val="45E83F3B"/>
    <w:rsid w:val="461D3BE5"/>
    <w:rsid w:val="4BB9615E"/>
    <w:rsid w:val="4F635009"/>
    <w:rsid w:val="5D165DEB"/>
    <w:rsid w:val="5D962BAA"/>
    <w:rsid w:val="68074A95"/>
    <w:rsid w:val="6E70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  <w:rPr>
      <w:rFonts w:ascii="Times New Roman" w:hAnsi="Times New Roman"/>
      <w:szCs w:val="20"/>
    </w:rPr>
  </w:style>
  <w:style w:type="paragraph" w:styleId="3">
    <w:name w:val="Body Text Indent"/>
    <w:basedOn w:val="1"/>
    <w:link w:val="13"/>
    <w:autoRedefine/>
    <w:semiHidden/>
    <w:unhideWhenUsed/>
    <w:qFormat/>
    <w:uiPriority w:val="0"/>
    <w:pPr>
      <w:spacing w:line="600" w:lineRule="atLeast"/>
      <w:ind w:firstLine="560" w:firstLineChars="200"/>
    </w:pPr>
    <w:rPr>
      <w:rFonts w:ascii="Times New Roman" w:hAnsi="Times New Roman"/>
      <w:sz w:val="28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6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正文文本缩进 Char"/>
    <w:basedOn w:val="9"/>
    <w:link w:val="3"/>
    <w:autoRedefine/>
    <w:semiHidden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20A9B-A5FC-45C0-9A47-88D6BC6C57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1275</Words>
  <Characters>1557</Characters>
  <Lines>11</Lines>
  <Paragraphs>3</Paragraphs>
  <TotalTime>32</TotalTime>
  <ScaleCrop>false</ScaleCrop>
  <LinksUpToDate>false</LinksUpToDate>
  <CharactersWithSpaces>1599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2025-04-14T02:52:00Z</dcterms:created>
  <dc:creator>孙献</dc:creator>
  <cp:lastModifiedBy>WSY</cp:lastModifiedBy>
  <cp:lastPrinted>2018-04-24T01:50:00Z</cp:lastPrinted>
  <dcterms:modified xsi:type="dcterms:W3CDTF">2025-04-25T07:48:14Z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5E682BB5815449EA9828A849B063A391_12</vt:lpwstr>
  </property>
  <property fmtid="{D5CDD505-2E9C-101B-9397-08002B2CF9AE}" pid="4" name="KSOTemplateDocerSaveRecord">
    <vt:lpwstr>eyJoZGlkIjoiMGYyMzhhMzNmNzJhMTU4YjMxZTc1YjkyNzFjZGE5ZTciLCJ1c2VySWQiOiIyNjU0NTI1NDMifQ==</vt:lpwstr>
  </property>
</Properties>
</file>