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AF" w:rsidRPr="00900F45" w:rsidRDefault="006718BA">
      <w:pPr>
        <w:spacing w:before="200" w:after="1000" w:line="560" w:lineRule="exact"/>
        <w:jc w:val="center"/>
        <w:rPr>
          <w:rFonts w:ascii="黑体" w:eastAsia="黑体" w:hAnsi="黑体" w:cs="宋体"/>
          <w:szCs w:val="18"/>
        </w:rPr>
      </w:pPr>
      <w:r w:rsidRPr="00900F45">
        <w:rPr>
          <w:rFonts w:ascii="黑体" w:eastAsia="黑体" w:hAnsi="黑体" w:cs="宋体"/>
          <w:szCs w:val="18"/>
        </w:rPr>
        <w:t>证券代码：002042                证券简称：华孚时尚                公告编号：</w:t>
      </w:r>
      <w:r w:rsidR="00900F45" w:rsidRPr="00900F45">
        <w:rPr>
          <w:rFonts w:ascii="黑体" w:eastAsia="黑体" w:hAnsi="黑体" w:cs="宋体" w:hint="eastAsia"/>
          <w:szCs w:val="18"/>
        </w:rPr>
        <w:t>2025-22</w:t>
      </w:r>
    </w:p>
    <w:p w:rsidR="00900F45" w:rsidRDefault="006718BA" w:rsidP="00900F45">
      <w:pPr>
        <w:spacing w:after="480"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华孚时尚股份有限公司</w:t>
      </w:r>
    </w:p>
    <w:p w:rsidR="00825DAF" w:rsidRDefault="006718BA" w:rsidP="00900F45">
      <w:pPr>
        <w:spacing w:after="480"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2024年年度报告摘要</w:t>
      </w:r>
    </w:p>
    <w:p w:rsidR="00825DAF" w:rsidRDefault="006718BA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0" w:name="_Toc988889"/>
      <w:r>
        <w:rPr>
          <w:rFonts w:ascii="宋体" w:eastAsia="宋体" w:hAnsi="宋体" w:cs="宋体"/>
          <w:b/>
          <w:bCs/>
          <w:sz w:val="24"/>
          <w:szCs w:val="24"/>
        </w:rPr>
        <w:t>一、重要提示</w:t>
      </w:r>
      <w:bookmarkEnd w:id="0"/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本年度报告摘要来自年度报告全文，为全面了解本公司的经营成果、财务状况及未来发展规划，投资者应当到证监会指定媒体仔细阅读年度报告全文。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所有董事均</w:t>
      </w:r>
      <w:proofErr w:type="gramStart"/>
      <w:r>
        <w:rPr>
          <w:rFonts w:ascii="宋体" w:eastAsia="宋体" w:hAnsi="宋体" w:cs="宋体"/>
          <w:sz w:val="18"/>
          <w:szCs w:val="18"/>
        </w:rPr>
        <w:t>已出席</w:t>
      </w:r>
      <w:proofErr w:type="gramEnd"/>
      <w:r>
        <w:rPr>
          <w:rFonts w:ascii="宋体" w:eastAsia="宋体" w:hAnsi="宋体" w:cs="宋体"/>
          <w:sz w:val="18"/>
          <w:szCs w:val="18"/>
        </w:rPr>
        <w:t>了审议本报告的董事会会议。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非标准审计意见提示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董事会审议的报告期利润分配预案或公积金转增股本预案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公司计划</w:t>
      </w:r>
      <w:proofErr w:type="gramStart"/>
      <w:r>
        <w:rPr>
          <w:rFonts w:ascii="宋体" w:eastAsia="宋体" w:hAnsi="宋体" w:cs="宋体"/>
          <w:sz w:val="18"/>
          <w:szCs w:val="18"/>
        </w:rPr>
        <w:t>不</w:t>
      </w:r>
      <w:proofErr w:type="gramEnd"/>
      <w:r>
        <w:rPr>
          <w:rFonts w:ascii="宋体" w:eastAsia="宋体" w:hAnsi="宋体" w:cs="宋体"/>
          <w:sz w:val="18"/>
          <w:szCs w:val="18"/>
        </w:rPr>
        <w:t>派发现金红利，不送红股，不以公积金转增股本。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董事会决议通过的本报告期优先股利润分配预案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□适用 □不适用</w:t>
      </w:r>
    </w:p>
    <w:p w:rsidR="00825DAF" w:rsidRDefault="006718BA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1" w:name="_Toc988890"/>
      <w:r>
        <w:rPr>
          <w:rFonts w:ascii="宋体" w:eastAsia="宋体" w:hAnsi="宋体" w:cs="宋体"/>
          <w:b/>
          <w:bCs/>
          <w:sz w:val="24"/>
          <w:szCs w:val="24"/>
        </w:rPr>
        <w:t>二、公司基本情况</w:t>
      </w:r>
      <w:bookmarkEnd w:id="1"/>
    </w:p>
    <w:p w:rsidR="00825DAF" w:rsidRDefault="006718BA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2" w:name="_Toc988891"/>
      <w:r>
        <w:rPr>
          <w:rFonts w:ascii="宋体" w:hAnsi="宋体" w:cs="宋体"/>
          <w:b/>
          <w:bCs/>
        </w:rPr>
        <w:t>1、公司简介</w:t>
      </w:r>
      <w:bookmarkEnd w:id="2"/>
    </w:p>
    <w:tbl>
      <w:tblPr>
        <w:tblW w:w="963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21"/>
        <w:gridCol w:w="1210"/>
        <w:gridCol w:w="1211"/>
        <w:gridCol w:w="2421"/>
      </w:tblGrid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股票简称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华孚时尚</w:t>
            </w:r>
          </w:p>
        </w:tc>
        <w:tc>
          <w:tcPr>
            <w:tcW w:w="2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股票代码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002042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股票上市交易所</w:t>
            </w:r>
          </w:p>
        </w:tc>
        <w:tc>
          <w:tcPr>
            <w:tcW w:w="7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深圳证券交易所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变更前的股票简称（如有）</w:t>
            </w:r>
          </w:p>
        </w:tc>
        <w:tc>
          <w:tcPr>
            <w:tcW w:w="7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无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 w:rsidP="00900F45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联系人和联系方式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董事会秘书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证券事务代表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张正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孙献</w:t>
            </w:r>
            <w:proofErr w:type="gramEnd"/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办公地址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广东省深圳市福田区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市花路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5号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长富金茂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大厦59楼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广东省深圳市福田区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市花路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5号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长富金茂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大厦59楼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传真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0755-83735566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0755-83735566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0755-83735593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0755-83735433</w:t>
            </w:r>
          </w:p>
        </w:tc>
      </w:tr>
      <w:tr w:rsidR="00825DAF" w:rsidTr="00900F45">
        <w:trPr>
          <w:trHeight w:val="240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电子信箱</w:t>
            </w:r>
          </w:p>
        </w:tc>
        <w:tc>
          <w:tcPr>
            <w:tcW w:w="3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dongban@e-huafu.com</w:t>
            </w:r>
          </w:p>
        </w:tc>
        <w:tc>
          <w:tcPr>
            <w:tcW w:w="3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sunx@e-huafu.com</w:t>
            </w:r>
          </w:p>
        </w:tc>
      </w:tr>
    </w:tbl>
    <w:p w:rsidR="00825DAF" w:rsidRDefault="006718BA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3" w:name="_Toc988892"/>
      <w:r>
        <w:rPr>
          <w:rFonts w:ascii="宋体" w:hAnsi="宋体" w:cs="宋体"/>
          <w:b/>
          <w:bCs/>
        </w:rPr>
        <w:t>2、报告期主要业务或产品简介</w:t>
      </w:r>
      <w:bookmarkEnd w:id="3"/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bookmarkStart w:id="4" w:name="_Toc988893"/>
      <w:r w:rsidRPr="00922B25">
        <w:rPr>
          <w:rFonts w:ascii="Times New Roman" w:hAnsi="Times New Roman" w:cs="Times New Roman"/>
          <w:sz w:val="18"/>
          <w:szCs w:val="18"/>
        </w:rPr>
        <w:t>1</w:t>
      </w:r>
      <w:r w:rsidRPr="00922B25">
        <w:rPr>
          <w:rFonts w:cs="Times New Roman" w:hint="eastAsia"/>
          <w:sz w:val="18"/>
          <w:szCs w:val="18"/>
        </w:rPr>
        <w:t>、公司的主要业务</w:t>
      </w:r>
    </w:p>
    <w:p w:rsidR="00900F45" w:rsidRPr="00922B25" w:rsidRDefault="0007465F" w:rsidP="00900F45">
      <w:pPr>
        <w:pStyle w:val="a3"/>
        <w:spacing w:before="0" w:beforeAutospacing="0" w:after="0" w:afterAutospacing="0"/>
        <w:ind w:firstLine="420"/>
        <w:jc w:val="both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公司围绕“坚持主业、共享产业、</w:t>
      </w:r>
      <w:r w:rsidR="00900F45" w:rsidRPr="00922B25">
        <w:rPr>
          <w:rFonts w:cs="Times New Roman" w:hint="eastAsia"/>
          <w:sz w:val="18"/>
          <w:szCs w:val="18"/>
        </w:rPr>
        <w:t>发展新业”战略主题，做稳纱线主业、做大共享产业、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做优新</w:t>
      </w:r>
      <w:proofErr w:type="gramEnd"/>
      <w:r w:rsidR="00900F45" w:rsidRPr="00922B25">
        <w:rPr>
          <w:rFonts w:cs="Times New Roman" w:hint="eastAsia"/>
          <w:sz w:val="18"/>
          <w:szCs w:val="18"/>
        </w:rPr>
        <w:t>业，作为全球最大的色纺纱制造商和供应商之一，主营中高档色纺纱线，配套提供高档新型的坯纱、染色纱，同时提供流行趋势、原料与产品认证、技术咨询等增值服务。通过色彩、材质、工艺技术的集成创新，为客户提供优质的产品和服务。公司在坚持主业的同时，共享产业，以纱线贯通纺织服装产业，整合棉花种植、棉花加工、仓储物流、花纱交易、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纺服供应</w:t>
      </w:r>
      <w:proofErr w:type="gramEnd"/>
      <w:r w:rsidR="00900F45" w:rsidRPr="00922B25">
        <w:rPr>
          <w:rFonts w:cs="Times New Roman" w:hint="eastAsia"/>
          <w:sz w:val="18"/>
          <w:szCs w:val="18"/>
        </w:rPr>
        <w:t>链，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打</w:t>
      </w:r>
      <w:r w:rsidR="00900F45" w:rsidRPr="00922B25">
        <w:rPr>
          <w:rFonts w:cs="Times New Roman" w:hint="eastAsia"/>
          <w:sz w:val="18"/>
          <w:szCs w:val="18"/>
        </w:rPr>
        <w:lastRenderedPageBreak/>
        <w:t>实现</w:t>
      </w:r>
      <w:proofErr w:type="gramEnd"/>
      <w:r w:rsidR="00900F45" w:rsidRPr="00922B25">
        <w:rPr>
          <w:rFonts w:cs="Times New Roman" w:hint="eastAsia"/>
          <w:sz w:val="18"/>
          <w:szCs w:val="18"/>
        </w:rPr>
        <w:t>从一朵棉花到一双袜子、一件衣服的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全供应</w:t>
      </w:r>
      <w:proofErr w:type="gramEnd"/>
      <w:r w:rsidR="00900F45" w:rsidRPr="00922B25">
        <w:rPr>
          <w:rFonts w:cs="Times New Roman" w:hint="eastAsia"/>
          <w:sz w:val="18"/>
          <w:szCs w:val="18"/>
        </w:rPr>
        <w:t>链业务，实现前后端产业贯通，致力成为全球纺织服装产业时尚营运商。发展新业以智能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算力中心</w:t>
      </w:r>
      <w:proofErr w:type="gramEnd"/>
      <w:r w:rsidR="00900F45" w:rsidRPr="00922B25">
        <w:rPr>
          <w:rFonts w:cs="Times New Roman" w:hint="eastAsia"/>
          <w:sz w:val="18"/>
          <w:szCs w:val="18"/>
        </w:rPr>
        <w:t>为抓手，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提供算力租赁</w:t>
      </w:r>
      <w:proofErr w:type="gramEnd"/>
      <w:r w:rsidR="00900F45" w:rsidRPr="00922B25">
        <w:rPr>
          <w:rFonts w:cs="Times New Roman" w:hint="eastAsia"/>
          <w:sz w:val="18"/>
          <w:szCs w:val="18"/>
        </w:rPr>
        <w:t>服务，同时</w:t>
      </w:r>
      <w:proofErr w:type="gramStart"/>
      <w:r w:rsidR="00900F45" w:rsidRPr="00922B25">
        <w:rPr>
          <w:rFonts w:cs="Times New Roman" w:hint="eastAsia"/>
          <w:sz w:val="18"/>
          <w:szCs w:val="18"/>
        </w:rPr>
        <w:t>智算新业探索</w:t>
      </w:r>
      <w:proofErr w:type="gramEnd"/>
      <w:r w:rsidR="00900F45" w:rsidRPr="00922B25">
        <w:rPr>
          <w:rFonts w:cs="Times New Roman" w:hint="eastAsia"/>
          <w:sz w:val="18"/>
          <w:szCs w:val="18"/>
        </w:rPr>
        <w:t>人工智能在纺织服装业务中的应用，助力纺织产业链升级。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ascii="Times New Roman" w:hAnsi="Times New Roman" w:cs="Times New Roman"/>
          <w:sz w:val="18"/>
          <w:szCs w:val="18"/>
        </w:rPr>
        <w:t>2</w:t>
      </w:r>
      <w:r w:rsidRPr="00922B25">
        <w:rPr>
          <w:rFonts w:cs="Times New Roman" w:hint="eastAsia"/>
          <w:sz w:val="18"/>
          <w:szCs w:val="18"/>
        </w:rPr>
        <w:t>、经营模式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cs="Times New Roman" w:hint="eastAsia"/>
          <w:sz w:val="18"/>
          <w:szCs w:val="18"/>
        </w:rPr>
        <w:t>主营纱线方面，目前纱线产能</w:t>
      </w:r>
      <w:r w:rsidRPr="00922B25">
        <w:rPr>
          <w:rFonts w:ascii="Times New Roman" w:hAnsi="Times New Roman" w:cs="Times New Roman"/>
          <w:sz w:val="18"/>
          <w:szCs w:val="18"/>
        </w:rPr>
        <w:t>206</w:t>
      </w:r>
      <w:r w:rsidRPr="00922B25">
        <w:rPr>
          <w:rFonts w:cs="Times New Roman" w:hint="eastAsia"/>
          <w:sz w:val="18"/>
          <w:szCs w:val="18"/>
        </w:rPr>
        <w:t>万锭，年产</w:t>
      </w:r>
      <w:r w:rsidRPr="00922B25">
        <w:rPr>
          <w:rFonts w:ascii="Times New Roman" w:hAnsi="Times New Roman" w:cs="Times New Roman"/>
          <w:sz w:val="18"/>
          <w:szCs w:val="18"/>
        </w:rPr>
        <w:t>29</w:t>
      </w:r>
      <w:r w:rsidRPr="00922B25">
        <w:rPr>
          <w:rFonts w:cs="Times New Roman" w:hint="eastAsia"/>
          <w:sz w:val="18"/>
          <w:szCs w:val="18"/>
        </w:rPr>
        <w:t>万吨新型纱线，生产基地覆盖中国东部和新疆等地。公司通过产业链协同，统筹市场及订单信息，制定“点（产地）对点（客户）”的供应链计划，分区域、分工厂、分生产线进行规模化定制，公司坚持以客户为本，品质至上，以趋势为方向，通过产品创新提升产品品质及附加值，赢得了客户的信赖。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cs="Times New Roman" w:hint="eastAsia"/>
          <w:sz w:val="18"/>
          <w:szCs w:val="18"/>
        </w:rPr>
        <w:t>共享产业，以纱线连接棉业、阿大、华尚供应链平台公司，</w:t>
      </w:r>
      <w:proofErr w:type="gramStart"/>
      <w:r w:rsidRPr="00922B25">
        <w:rPr>
          <w:rFonts w:cs="Times New Roman" w:hint="eastAsia"/>
          <w:sz w:val="18"/>
          <w:szCs w:val="18"/>
        </w:rPr>
        <w:t>贯通全</w:t>
      </w:r>
      <w:proofErr w:type="gramEnd"/>
      <w:r w:rsidRPr="00922B25">
        <w:rPr>
          <w:rFonts w:cs="Times New Roman" w:hint="eastAsia"/>
          <w:sz w:val="18"/>
          <w:szCs w:val="18"/>
        </w:rPr>
        <w:t>产业链。棉业立足新疆，选择核心轧花厂、扩大虚拟农业合作社，投资种业科技、开发特色棉种，完善销售渠道、</w:t>
      </w:r>
      <w:proofErr w:type="gramStart"/>
      <w:r w:rsidRPr="00922B25">
        <w:rPr>
          <w:rFonts w:cs="Times New Roman" w:hint="eastAsia"/>
          <w:sz w:val="18"/>
          <w:szCs w:val="18"/>
        </w:rPr>
        <w:t>提升贸融能力</w:t>
      </w:r>
      <w:proofErr w:type="gramEnd"/>
      <w:r w:rsidRPr="00922B25">
        <w:rPr>
          <w:rFonts w:cs="Times New Roman" w:hint="eastAsia"/>
          <w:sz w:val="18"/>
          <w:szCs w:val="18"/>
        </w:rPr>
        <w:t>，将新疆棉花交易市场打造成数字化棉花供应链平台；阿大立足诸暨，包括自主品牌经营、品牌授权经营、贴</w:t>
      </w:r>
      <w:bookmarkStart w:id="5" w:name="_GoBack"/>
      <w:bookmarkEnd w:id="5"/>
      <w:proofErr w:type="gramStart"/>
      <w:r w:rsidRPr="00922B25">
        <w:rPr>
          <w:rFonts w:cs="Times New Roman" w:hint="eastAsia"/>
          <w:sz w:val="18"/>
          <w:szCs w:val="18"/>
        </w:rPr>
        <w:t>牌业务</w:t>
      </w:r>
      <w:proofErr w:type="gramEnd"/>
      <w:r w:rsidRPr="00922B25">
        <w:rPr>
          <w:rFonts w:cs="Times New Roman" w:hint="eastAsia"/>
          <w:sz w:val="18"/>
          <w:szCs w:val="18"/>
        </w:rPr>
        <w:t>经营、纱线经营等业务模式，建立袜业创新、品牌与交易平台，打造纱袜供应链平台。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cs="Times New Roman" w:hint="eastAsia"/>
          <w:sz w:val="18"/>
          <w:szCs w:val="18"/>
        </w:rPr>
        <w:t>新业围绕“东数西算”，规划“东推西训”上虞和新疆联动模式，以自</w:t>
      </w:r>
      <w:proofErr w:type="gramStart"/>
      <w:r w:rsidRPr="00922B25">
        <w:rPr>
          <w:rFonts w:cs="Times New Roman" w:hint="eastAsia"/>
          <w:sz w:val="18"/>
          <w:szCs w:val="18"/>
        </w:rPr>
        <w:t>有算力</w:t>
      </w:r>
      <w:proofErr w:type="gramEnd"/>
      <w:r w:rsidRPr="00922B25">
        <w:rPr>
          <w:rFonts w:ascii="Times New Roman" w:hAnsi="Times New Roman" w:cs="Times New Roman"/>
          <w:sz w:val="18"/>
          <w:szCs w:val="18"/>
        </w:rPr>
        <w:t>+</w:t>
      </w:r>
      <w:proofErr w:type="gramStart"/>
      <w:r w:rsidRPr="00922B25">
        <w:rPr>
          <w:rFonts w:cs="Times New Roman" w:hint="eastAsia"/>
          <w:sz w:val="18"/>
          <w:szCs w:val="18"/>
        </w:rPr>
        <w:t>调度算力形成</w:t>
      </w:r>
      <w:proofErr w:type="gramEnd"/>
      <w:r w:rsidRPr="00922B25">
        <w:rPr>
          <w:rFonts w:cs="Times New Roman" w:hint="eastAsia"/>
          <w:sz w:val="18"/>
          <w:szCs w:val="18"/>
        </w:rPr>
        <w:t>完整</w:t>
      </w:r>
      <w:proofErr w:type="gramStart"/>
      <w:r w:rsidRPr="00922B25">
        <w:rPr>
          <w:rFonts w:cs="Times New Roman" w:hint="eastAsia"/>
          <w:sz w:val="18"/>
          <w:szCs w:val="18"/>
        </w:rPr>
        <w:t>的算力服务</w:t>
      </w:r>
      <w:proofErr w:type="gramEnd"/>
      <w:r w:rsidRPr="00922B25">
        <w:rPr>
          <w:rFonts w:cs="Times New Roman" w:hint="eastAsia"/>
          <w:sz w:val="18"/>
          <w:szCs w:val="18"/>
        </w:rPr>
        <w:t>体系，全力打造成为一流的</w:t>
      </w:r>
      <w:proofErr w:type="gramStart"/>
      <w:r w:rsidRPr="00922B25">
        <w:rPr>
          <w:rFonts w:cs="Times New Roman" w:hint="eastAsia"/>
          <w:sz w:val="18"/>
          <w:szCs w:val="18"/>
        </w:rPr>
        <w:t>算力综合</w:t>
      </w:r>
      <w:proofErr w:type="gramEnd"/>
      <w:r w:rsidRPr="00922B25">
        <w:rPr>
          <w:rFonts w:cs="Times New Roman" w:hint="eastAsia"/>
          <w:sz w:val="18"/>
          <w:szCs w:val="18"/>
        </w:rPr>
        <w:t>服</w:t>
      </w:r>
      <w:r w:rsidR="0007465F">
        <w:rPr>
          <w:rFonts w:cs="Times New Roman" w:hint="eastAsia"/>
          <w:sz w:val="18"/>
          <w:szCs w:val="18"/>
        </w:rPr>
        <w:t>务商。华</w:t>
      </w:r>
      <w:proofErr w:type="gramStart"/>
      <w:r w:rsidR="0007465F">
        <w:rPr>
          <w:rFonts w:cs="Times New Roman" w:hint="eastAsia"/>
          <w:sz w:val="18"/>
          <w:szCs w:val="18"/>
        </w:rPr>
        <w:t>孚科技</w:t>
      </w:r>
      <w:proofErr w:type="gramEnd"/>
      <w:r w:rsidR="0007465F">
        <w:rPr>
          <w:rFonts w:cs="Times New Roman" w:hint="eastAsia"/>
          <w:sz w:val="18"/>
          <w:szCs w:val="18"/>
        </w:rPr>
        <w:t>将人工智能与纺织主业有机结合，在流行趋势分析、新型</w:t>
      </w:r>
      <w:r w:rsidRPr="00922B25">
        <w:rPr>
          <w:rFonts w:cs="Times New Roman" w:hint="eastAsia"/>
          <w:sz w:val="18"/>
          <w:szCs w:val="18"/>
        </w:rPr>
        <w:t>纺织纤维研发、纺织服装从设计图到工艺图生成等多个核心环节，促进企业自身效能提升，助</w:t>
      </w:r>
      <w:proofErr w:type="gramStart"/>
      <w:r w:rsidRPr="00922B25">
        <w:rPr>
          <w:rFonts w:cs="Times New Roman" w:hint="eastAsia"/>
          <w:sz w:val="18"/>
          <w:szCs w:val="18"/>
        </w:rPr>
        <w:t>推传统产业数智</w:t>
      </w:r>
      <w:proofErr w:type="gramEnd"/>
      <w:r w:rsidRPr="00922B25">
        <w:rPr>
          <w:rFonts w:cs="Times New Roman" w:hint="eastAsia"/>
          <w:sz w:val="18"/>
          <w:szCs w:val="18"/>
        </w:rPr>
        <w:t>化变革。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ascii="Times New Roman" w:hAnsi="Times New Roman" w:cs="Times New Roman"/>
          <w:sz w:val="18"/>
          <w:szCs w:val="18"/>
        </w:rPr>
        <w:t>3</w:t>
      </w:r>
      <w:r w:rsidRPr="00922B25">
        <w:rPr>
          <w:rFonts w:cs="Times New Roman" w:hint="eastAsia"/>
          <w:sz w:val="18"/>
          <w:szCs w:val="18"/>
        </w:rPr>
        <w:t>、主营业务分析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cs="Times New Roman"/>
          <w:sz w:val="18"/>
          <w:szCs w:val="18"/>
        </w:rPr>
      </w:pPr>
      <w:r w:rsidRPr="00922B25">
        <w:rPr>
          <w:rFonts w:cs="Times New Roman" w:hint="eastAsia"/>
          <w:sz w:val="18"/>
          <w:szCs w:val="18"/>
        </w:rPr>
        <w:t>报告期内，公司实现营业收入</w:t>
      </w:r>
      <w:r w:rsidRPr="00922B25">
        <w:rPr>
          <w:rFonts w:cs="Times New Roman"/>
          <w:sz w:val="18"/>
          <w:szCs w:val="18"/>
        </w:rPr>
        <w:t>107.62</w:t>
      </w:r>
      <w:r w:rsidRPr="00922B25">
        <w:rPr>
          <w:rFonts w:cs="Times New Roman" w:hint="eastAsia"/>
          <w:sz w:val="18"/>
          <w:szCs w:val="18"/>
        </w:rPr>
        <w:t>亿元，同比下降</w:t>
      </w:r>
      <w:r w:rsidRPr="00922B25">
        <w:rPr>
          <w:rFonts w:cs="Times New Roman"/>
          <w:sz w:val="18"/>
          <w:szCs w:val="18"/>
        </w:rPr>
        <w:t>21.24%</w:t>
      </w:r>
      <w:r w:rsidRPr="00922B25">
        <w:rPr>
          <w:rFonts w:cs="Times New Roman" w:hint="eastAsia"/>
          <w:sz w:val="18"/>
          <w:szCs w:val="18"/>
        </w:rPr>
        <w:t>，</w:t>
      </w:r>
      <w:proofErr w:type="gramStart"/>
      <w:r w:rsidRPr="00922B25">
        <w:rPr>
          <w:rFonts w:cs="Times New Roman" w:hint="eastAsia"/>
          <w:sz w:val="18"/>
          <w:szCs w:val="18"/>
        </w:rPr>
        <w:t>归母净利润</w:t>
      </w:r>
      <w:proofErr w:type="gramEnd"/>
      <w:r w:rsidRPr="00922B25">
        <w:rPr>
          <w:rFonts w:cs="Times New Roman"/>
          <w:sz w:val="18"/>
          <w:szCs w:val="18"/>
        </w:rPr>
        <w:t>-20,776.50</w:t>
      </w:r>
      <w:r w:rsidRPr="00922B25">
        <w:rPr>
          <w:rFonts w:cs="Times New Roman" w:hint="eastAsia"/>
          <w:sz w:val="18"/>
          <w:szCs w:val="18"/>
        </w:rPr>
        <w:t>万元</w:t>
      </w:r>
      <w:r w:rsidRPr="00922B25">
        <w:rPr>
          <w:rFonts w:cs="Times New Roman"/>
          <w:sz w:val="18"/>
          <w:szCs w:val="18"/>
        </w:rPr>
        <w:t xml:space="preserve"> </w:t>
      </w:r>
      <w:r w:rsidRPr="00922B25">
        <w:rPr>
          <w:rFonts w:cs="Times New Roman" w:hint="eastAsia"/>
          <w:sz w:val="18"/>
          <w:szCs w:val="18"/>
        </w:rPr>
        <w:t>。2024年，纺织行业在复杂环境下实现平稳运行，彰显韧性。但外部宏观形势复杂多变，企业面临全球需求内生动力仍待恢复、成本上涨、贸易摩擦等带来的挑战。</w:t>
      </w:r>
    </w:p>
    <w:p w:rsidR="00900F45" w:rsidRPr="00922B25" w:rsidRDefault="00900F45" w:rsidP="00900F45">
      <w:pPr>
        <w:pStyle w:val="a3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</w:rPr>
      </w:pPr>
      <w:r w:rsidRPr="00922B25">
        <w:rPr>
          <w:rFonts w:cs="Times New Roman" w:hint="eastAsia"/>
          <w:sz w:val="18"/>
          <w:szCs w:val="18"/>
        </w:rPr>
        <w:t>公司持续拓展内循环市场空间，深度挖掘国内供应链客户，抓住产业集中度提升机会，围绕功能科技、时尚快反、可持续发展、高质量发展四条主线，多品类拓展市场，主营纱线业务平稳增长。受国际环境、贸易保护主义、产业安全等问题的持续影响，以及原料供应端冲击和终端有效需求不足的双向挤压，棉花的金融属性及其价格大幅波动对企业运行影响明显，为了规避价格波动的冲击，公司压降前端棉花供应链业务。</w:t>
      </w:r>
    </w:p>
    <w:p w:rsidR="00825DAF" w:rsidRDefault="006718BA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3、主要会计数据和财务指标</w:t>
      </w:r>
      <w:bookmarkEnd w:id="4"/>
    </w:p>
    <w:p w:rsidR="00825DAF" w:rsidRDefault="006718BA">
      <w:pPr>
        <w:keepNext/>
        <w:keepLines/>
        <w:spacing w:before="300" w:after="300" w:line="280" w:lineRule="exact"/>
        <w:outlineLvl w:val="3"/>
        <w:rPr>
          <w:rFonts w:ascii="宋体" w:eastAsia="宋体" w:hAnsi="宋体" w:cs="宋体"/>
          <w:b/>
          <w:bCs/>
          <w:sz w:val="18"/>
          <w:szCs w:val="18"/>
        </w:rPr>
      </w:pPr>
      <w:bookmarkStart w:id="6" w:name="_Toc988894"/>
      <w:r>
        <w:rPr>
          <w:rFonts w:ascii="宋体" w:eastAsia="宋体" w:hAnsi="宋体" w:cs="宋体"/>
          <w:b/>
          <w:bCs/>
          <w:sz w:val="18"/>
          <w:szCs w:val="18"/>
        </w:rPr>
        <w:t>（1） 近三年主要会计数据和财务指标</w:t>
      </w:r>
      <w:bookmarkEnd w:id="6"/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公司是否需追溯调整或重述以前年度会计数据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□是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否</w:t>
      </w:r>
    </w:p>
    <w:p w:rsidR="00825DAF" w:rsidRDefault="006718BA">
      <w:pPr>
        <w:spacing w:before="120" w:after="120" w:line="240" w:lineRule="exact"/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单位：元</w:t>
      </w:r>
    </w:p>
    <w:tbl>
      <w:tblPr>
        <w:tblW w:w="963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2024年末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2023年末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本年末比上年末增减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2022年末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总资产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17,179,238,619.93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17,041,273,022.84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0.81%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18,144,000,776.77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归属于上市公司股东的净资产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5,782,918,783.22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6,156,565,539.90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-6.07%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6,292,682,730.29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2024年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2023年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本年比上年增减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2022年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营业收入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10,761,951,965.32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13,663,469,325.68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-21.24%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14,459,640,227.88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归属于上市公司股东的净利润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-207,764,974.56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66,782,080.49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-411.11%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-350,313,894.56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归属于上市公司股东的扣除非经常性损益的净利润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-353,226,880.11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-249,951,638.68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-41.32%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-372,993,668.96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经营活动产生的现金流量净额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272,214,435.39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857,773,221.39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-68.26%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892,963,119.78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基本每股收益（元/股）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-0.12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0.04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-400.00%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-0.21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稀释每股收益（元/股）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-0.12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0.04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-400.00%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-0.21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加权平均净资产收益率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-3.44%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1.07%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-4.51%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-5.09%</w:t>
            </w:r>
          </w:p>
        </w:tc>
      </w:tr>
    </w:tbl>
    <w:p w:rsidR="00825DAF" w:rsidRDefault="006718BA">
      <w:pPr>
        <w:keepNext/>
        <w:keepLines/>
        <w:spacing w:before="300" w:after="300" w:line="280" w:lineRule="exact"/>
        <w:outlineLvl w:val="3"/>
        <w:rPr>
          <w:rFonts w:ascii="宋体" w:eastAsia="宋体" w:hAnsi="宋体" w:cs="宋体"/>
          <w:b/>
          <w:bCs/>
          <w:sz w:val="18"/>
          <w:szCs w:val="18"/>
        </w:rPr>
      </w:pPr>
      <w:bookmarkStart w:id="7" w:name="_Toc988895"/>
      <w:r>
        <w:rPr>
          <w:rFonts w:ascii="宋体" w:eastAsia="宋体" w:hAnsi="宋体" w:cs="宋体"/>
          <w:b/>
          <w:bCs/>
          <w:sz w:val="18"/>
          <w:szCs w:val="18"/>
        </w:rPr>
        <w:t>（2） 分季度主要会计数据</w:t>
      </w:r>
      <w:bookmarkEnd w:id="7"/>
    </w:p>
    <w:p w:rsidR="00825DAF" w:rsidRDefault="006718BA">
      <w:pPr>
        <w:spacing w:before="120" w:after="120" w:line="240" w:lineRule="exact"/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单位：元</w:t>
      </w:r>
    </w:p>
    <w:tbl>
      <w:tblPr>
        <w:tblW w:w="963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第一季度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第二季度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第三季度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第四季度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营业收入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3,924,089,988.79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2,598,782,658.21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2,804,130,610.67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1,434,948,707.65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归属于上市公司股东的净利润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13,494,498.49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31,310,122.68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2,972,206.81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-255,541,802.53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归属于上市公司股东的扣除非经常性损益的净利润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9,357,306.36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-18,343,049.02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-51,770,899.69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-292,470,237.76</w:t>
            </w:r>
          </w:p>
        </w:tc>
      </w:tr>
      <w:tr w:rsidR="00825DAF">
        <w:trPr>
          <w:trHeight w:val="240"/>
        </w:trPr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经营活动产生的现金流量净额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77,586,657.20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1,015,585,557.43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172,982,355.24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-993,940,134.48</w:t>
            </w:r>
          </w:p>
        </w:tc>
      </w:tr>
    </w:tbl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上述财务指标或其加总数是否与公司已披露季度报告、半年度报告相关财务指标存在重大差异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□是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否</w:t>
      </w:r>
    </w:p>
    <w:p w:rsidR="00825DAF" w:rsidRDefault="006718BA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8" w:name="_Toc988896"/>
      <w:r>
        <w:rPr>
          <w:rFonts w:ascii="宋体" w:hAnsi="宋体" w:cs="宋体"/>
          <w:b/>
          <w:bCs/>
        </w:rPr>
        <w:t>4、股本及股东情况</w:t>
      </w:r>
      <w:bookmarkEnd w:id="8"/>
    </w:p>
    <w:p w:rsidR="00825DAF" w:rsidRDefault="006718BA">
      <w:pPr>
        <w:keepNext/>
        <w:keepLines/>
        <w:spacing w:before="300" w:after="300" w:line="280" w:lineRule="exact"/>
        <w:outlineLvl w:val="3"/>
        <w:rPr>
          <w:rFonts w:ascii="宋体" w:eastAsia="宋体" w:hAnsi="宋体" w:cs="宋体"/>
          <w:b/>
          <w:bCs/>
          <w:sz w:val="18"/>
          <w:szCs w:val="18"/>
        </w:rPr>
      </w:pPr>
      <w:bookmarkStart w:id="9" w:name="_Toc988897"/>
      <w:r>
        <w:rPr>
          <w:rFonts w:ascii="宋体" w:eastAsia="宋体" w:hAnsi="宋体" w:cs="宋体"/>
          <w:b/>
          <w:bCs/>
          <w:sz w:val="18"/>
          <w:szCs w:val="18"/>
        </w:rPr>
        <w:t>（1） 普通股股东和表决权恢复的优先股股东数量及前10名股东持股情况表</w:t>
      </w:r>
      <w:bookmarkEnd w:id="9"/>
    </w:p>
    <w:p w:rsidR="00825DAF" w:rsidRDefault="006718BA">
      <w:pPr>
        <w:spacing w:before="40" w:after="40" w:line="240" w:lineRule="exact"/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单位：股</w:t>
      </w:r>
    </w:p>
    <w:tbl>
      <w:tblPr>
        <w:tblW w:w="963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801"/>
        <w:gridCol w:w="270"/>
        <w:gridCol w:w="14"/>
        <w:gridCol w:w="992"/>
        <w:gridCol w:w="1136"/>
        <w:gridCol w:w="1071"/>
        <w:gridCol w:w="488"/>
        <w:gridCol w:w="1134"/>
        <w:gridCol w:w="520"/>
        <w:gridCol w:w="331"/>
        <w:gridCol w:w="742"/>
      </w:tblGrid>
      <w:tr w:rsidR="00825DAF" w:rsidTr="00900F45">
        <w:trPr>
          <w:trHeight w:val="240"/>
        </w:trPr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报告期末普通股股东总数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29,628</w:t>
            </w: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年度报告披露日前一个月末普通股股东总数</w:t>
            </w: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27,213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报告期末表决权恢复的优先股股东总数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年度报告披露日前一个月末表决权恢复的优先股股东总数</w:t>
            </w: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>
        <w:trPr>
          <w:trHeight w:val="240"/>
        </w:trPr>
        <w:tc>
          <w:tcPr>
            <w:tcW w:w="963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前10名股东持股情况（不含通过转融通出借股份）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股东名称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股东性质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持股比例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持股数量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持有有限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售条件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的股份数量</w:t>
            </w:r>
          </w:p>
        </w:tc>
        <w:tc>
          <w:tcPr>
            <w:tcW w:w="1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质押、标记或冻结情况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2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1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825DAF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股份状态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数量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华孚控股有限公司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境内非国有法人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29.50%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501,655,862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安徽飞亚纺织有限公司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境内非国有法人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7.59%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129,058,312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深圳市华人投资有限公司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境内非国有法人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4.82%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81,973,588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广西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沣盛供应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链管理有限公司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境内非国有法人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1.66%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28,239,302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质押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28,239,302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香港中央结算有限公司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境外法人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0.83%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14,165,676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许双青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0.83%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14,110,450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杭州金蟾蜍投资管理有限公司－金蟾蜍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睿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达一号私募证券投资基金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0.77%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13,072,800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陆超祖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0.70%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11,827,150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袁应松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0.66%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11,244,629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金元顺安基金－兴业银行－上海爱建信托－爱建信托欣欣7号定向增发事务管理类单一资金信托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0.65%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11,136,056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825DAF" w:rsidTr="00900F45">
        <w:trPr>
          <w:trHeight w:val="240"/>
        </w:trPr>
        <w:tc>
          <w:tcPr>
            <w:tcW w:w="3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6718BA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上述股东关联关系或一致行动的说明</w:t>
            </w:r>
          </w:p>
        </w:tc>
        <w:tc>
          <w:tcPr>
            <w:tcW w:w="64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上述股东中华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控股有限公司、安徽飞亚纺织有限公司、深圳市华人投资有限公司为公司控股股东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及一致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行动人，其余流通股东与控股股东之间不存在关联关系，也不属于一致行动人。未知其余流通股股东之间是否存在关联关系或是</w:t>
            </w: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否属于一致行动人。</w:t>
            </w:r>
            <w:r>
              <w:rPr>
                <w:rFonts w:ascii="Times New Roman" w:eastAsia="宋体" w:hAnsi="Times New Roman" w:cs="Times New Roman"/>
                <w:color w:val="F00000"/>
                <w:vertAlign w:val="superscript"/>
              </w:rPr>
              <w:t>1</w:t>
            </w:r>
          </w:p>
        </w:tc>
      </w:tr>
      <w:tr w:rsidR="00825DAF" w:rsidTr="00900F45">
        <w:trPr>
          <w:trHeight w:val="240"/>
        </w:trPr>
        <w:tc>
          <w:tcPr>
            <w:tcW w:w="3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825DAF" w:rsidRDefault="00900F45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参与融资融券业务股东情况说明</w:t>
            </w:r>
          </w:p>
        </w:tc>
        <w:tc>
          <w:tcPr>
            <w:tcW w:w="64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AF" w:rsidRDefault="006718BA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</w:tr>
    </w:tbl>
    <w:p w:rsidR="00825DAF" w:rsidRPr="00900F45" w:rsidRDefault="006718BA" w:rsidP="00900F45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 w:rsidRPr="00900F45">
        <w:rPr>
          <w:rFonts w:ascii="宋体" w:eastAsia="宋体" w:hAnsi="宋体" w:cs="宋体"/>
          <w:sz w:val="18"/>
          <w:szCs w:val="18"/>
        </w:rPr>
        <w:t>注：1 前十名股东中存在回购专户，按要求不纳入前十大股东列示。截止12月31日，回购专</w:t>
      </w:r>
      <w:proofErr w:type="gramStart"/>
      <w:r w:rsidRPr="00900F45">
        <w:rPr>
          <w:rFonts w:ascii="宋体" w:eastAsia="宋体" w:hAnsi="宋体" w:cs="宋体"/>
          <w:sz w:val="18"/>
          <w:szCs w:val="18"/>
        </w:rPr>
        <w:t>户股份</w:t>
      </w:r>
      <w:proofErr w:type="gramEnd"/>
      <w:r w:rsidRPr="00900F45">
        <w:rPr>
          <w:rFonts w:ascii="宋体" w:eastAsia="宋体" w:hAnsi="宋体" w:cs="宋体"/>
          <w:sz w:val="18"/>
          <w:szCs w:val="18"/>
        </w:rPr>
        <w:t>数量为95,478,485股，占比5.61%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持股5%以上股东、前10名股东及前10名无限</w:t>
      </w:r>
      <w:proofErr w:type="gramStart"/>
      <w:r>
        <w:rPr>
          <w:rFonts w:ascii="宋体" w:eastAsia="宋体" w:hAnsi="宋体" w:cs="宋体"/>
          <w:sz w:val="18"/>
          <w:szCs w:val="18"/>
        </w:rPr>
        <w:t>售流通</w:t>
      </w:r>
      <w:proofErr w:type="gramEnd"/>
      <w:r>
        <w:rPr>
          <w:rFonts w:ascii="宋体" w:eastAsia="宋体" w:hAnsi="宋体" w:cs="宋体"/>
          <w:sz w:val="18"/>
          <w:szCs w:val="18"/>
        </w:rPr>
        <w:t>股股东参与转融通业务出借股份情况</w:t>
      </w:r>
    </w:p>
    <w:p w:rsidR="00825DAF" w:rsidRDefault="006718BA">
      <w:pPr>
        <w:spacing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前10名股东及前10名无限</w:t>
      </w:r>
      <w:proofErr w:type="gramStart"/>
      <w:r>
        <w:rPr>
          <w:rFonts w:ascii="宋体" w:eastAsia="宋体" w:hAnsi="宋体" w:cs="宋体"/>
          <w:sz w:val="18"/>
          <w:szCs w:val="18"/>
        </w:rPr>
        <w:t>售流通</w:t>
      </w:r>
      <w:proofErr w:type="gramEnd"/>
      <w:r>
        <w:rPr>
          <w:rFonts w:ascii="宋体" w:eastAsia="宋体" w:hAnsi="宋体" w:cs="宋体"/>
          <w:sz w:val="18"/>
          <w:szCs w:val="18"/>
        </w:rPr>
        <w:t>股股东因转融通出借/归还原因导致较上期发生变化</w:t>
      </w:r>
    </w:p>
    <w:p w:rsidR="00825DAF" w:rsidRDefault="006718BA">
      <w:pPr>
        <w:spacing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keepNext/>
        <w:keepLines/>
        <w:spacing w:before="300" w:after="300" w:line="280" w:lineRule="exact"/>
        <w:outlineLvl w:val="3"/>
        <w:rPr>
          <w:rFonts w:ascii="宋体" w:eastAsia="宋体" w:hAnsi="宋体" w:cs="宋体"/>
          <w:b/>
          <w:bCs/>
          <w:sz w:val="18"/>
          <w:szCs w:val="18"/>
        </w:rPr>
      </w:pPr>
      <w:bookmarkStart w:id="10" w:name="_Toc988898"/>
      <w:r>
        <w:rPr>
          <w:rFonts w:ascii="宋体" w:eastAsia="宋体" w:hAnsi="宋体" w:cs="宋体"/>
          <w:b/>
          <w:bCs/>
          <w:sz w:val="18"/>
          <w:szCs w:val="18"/>
        </w:rPr>
        <w:t>（2） 公司优先股股东总数及前10名优先股股东持股情况表</w:t>
      </w:r>
      <w:bookmarkEnd w:id="10"/>
    </w:p>
    <w:p w:rsidR="00825DAF" w:rsidRDefault="006718BA">
      <w:pPr>
        <w:spacing w:before="40" w:after="4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公司报告期无优先股股东持股情况。</w:t>
      </w:r>
    </w:p>
    <w:p w:rsidR="00825DAF" w:rsidRDefault="006718BA">
      <w:pPr>
        <w:keepNext/>
        <w:keepLines/>
        <w:spacing w:before="300" w:after="300" w:line="280" w:lineRule="exact"/>
        <w:outlineLvl w:val="3"/>
        <w:rPr>
          <w:rFonts w:ascii="宋体" w:eastAsia="宋体" w:hAnsi="宋体" w:cs="宋体"/>
          <w:b/>
          <w:bCs/>
          <w:sz w:val="18"/>
          <w:szCs w:val="18"/>
        </w:rPr>
      </w:pPr>
      <w:bookmarkStart w:id="11" w:name="_Toc988899"/>
      <w:r>
        <w:rPr>
          <w:rFonts w:ascii="宋体" w:eastAsia="宋体" w:hAnsi="宋体" w:cs="宋体"/>
          <w:b/>
          <w:bCs/>
          <w:sz w:val="18"/>
          <w:szCs w:val="18"/>
        </w:rPr>
        <w:t>（3） 以方框图形式披露公司与实际控制人之间的产权及控制关系</w:t>
      </w:r>
      <w:bookmarkEnd w:id="11"/>
    </w:p>
    <w:p w:rsidR="00825DAF" w:rsidRDefault="006718BA" w:rsidP="00900F45">
      <w:pPr>
        <w:spacing w:before="40" w:after="40" w:line="0" w:lineRule="atLeast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095875" cy="2592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517" cy="25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AF" w:rsidRDefault="006718BA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12" w:name="_Toc988900"/>
      <w:r>
        <w:rPr>
          <w:rFonts w:ascii="宋体" w:hAnsi="宋体" w:cs="宋体"/>
          <w:b/>
          <w:bCs/>
        </w:rPr>
        <w:t>5、在年度报告批准报出日存续的债券情况</w:t>
      </w:r>
      <w:bookmarkEnd w:id="12"/>
    </w:p>
    <w:p w:rsidR="00825DAF" w:rsidRDefault="006718BA">
      <w:pPr>
        <w:spacing w:before="100" w:after="10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825DAF" w:rsidRDefault="006718BA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13" w:name="_Toc988901"/>
      <w:r>
        <w:rPr>
          <w:rFonts w:ascii="宋体" w:eastAsia="宋体" w:hAnsi="宋体" w:cs="宋体"/>
          <w:b/>
          <w:bCs/>
          <w:sz w:val="24"/>
          <w:szCs w:val="24"/>
        </w:rPr>
        <w:t>三、重要事项</w:t>
      </w:r>
      <w:bookmarkEnd w:id="13"/>
    </w:p>
    <w:p w:rsidR="00F04135" w:rsidRDefault="006718BA">
      <w:pPr>
        <w:pStyle w:val="a3"/>
        <w:divId w:val="1809589911"/>
        <w:rPr>
          <w:sz w:val="18"/>
          <w:szCs w:val="18"/>
        </w:rPr>
      </w:pPr>
      <w:r>
        <w:rPr>
          <w:rFonts w:hint="eastAsia"/>
          <w:sz w:val="18"/>
          <w:szCs w:val="18"/>
        </w:rPr>
        <w:t>无</w:t>
      </w:r>
    </w:p>
    <w:p w:rsidR="00900F45" w:rsidRDefault="00900F45" w:rsidP="00900F45">
      <w:pPr>
        <w:pStyle w:val="a3"/>
        <w:jc w:val="right"/>
        <w:divId w:val="1809589911"/>
        <w:rPr>
          <w:sz w:val="18"/>
          <w:szCs w:val="18"/>
        </w:rPr>
      </w:pPr>
      <w:r>
        <w:rPr>
          <w:rFonts w:hint="eastAsia"/>
          <w:sz w:val="18"/>
          <w:szCs w:val="18"/>
        </w:rPr>
        <w:t>华孚时尚股份有限公司董事会</w:t>
      </w:r>
    </w:p>
    <w:p w:rsidR="00900F45" w:rsidRDefault="00900F45" w:rsidP="00900F45">
      <w:pPr>
        <w:pStyle w:val="a3"/>
        <w:jc w:val="right"/>
        <w:divId w:val="1809589911"/>
        <w:rPr>
          <w:sz w:val="18"/>
          <w:szCs w:val="18"/>
        </w:rPr>
      </w:pPr>
      <w:r>
        <w:rPr>
          <w:rFonts w:hint="eastAsia"/>
          <w:sz w:val="18"/>
          <w:szCs w:val="18"/>
        </w:rPr>
        <w:t>2025年4月26日</w:t>
      </w:r>
    </w:p>
    <w:sectPr w:rsidR="00900F45">
      <w:headerReference w:type="default" r:id="rId8"/>
      <w:footerReference w:type="default" r:id="rId9"/>
      <w:pgSz w:w="11905" w:h="16840"/>
      <w:pgMar w:top="850" w:right="1134" w:bottom="850" w:left="1134" w:header="850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BA" w:rsidRDefault="006718BA">
      <w:r>
        <w:separator/>
      </w:r>
    </w:p>
  </w:endnote>
  <w:endnote w:type="continuationSeparator" w:id="0">
    <w:p w:rsidR="006718BA" w:rsidRDefault="006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AF" w:rsidRDefault="006718BA">
    <w:pPr>
      <w:pStyle w:val="fotter1"/>
    </w:pPr>
    <w:r>
      <w:fldChar w:fldCharType="begin"/>
    </w:r>
    <w:r>
      <w:instrText>PAGE   \* MERGEFORMAT</w:instrText>
    </w:r>
    <w:r>
      <w:fldChar w:fldCharType="separate"/>
    </w:r>
    <w:r w:rsidR="000746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BA" w:rsidRDefault="006718BA">
      <w:r>
        <w:separator/>
      </w:r>
    </w:p>
  </w:footnote>
  <w:footnote w:type="continuationSeparator" w:id="0">
    <w:p w:rsidR="006718BA" w:rsidRDefault="0067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AF" w:rsidRDefault="006718BA">
    <w:pPr>
      <w:pStyle w:val="Header1"/>
      <w:pBdr>
        <w:bottom w:val="single" w:sz="6" w:space="1" w:color="auto"/>
      </w:pBdr>
    </w:pPr>
    <w:r>
      <w:t>华孚时尚股份有限公司2024年年度报告摘要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5DAF"/>
    <w:rsid w:val="0007465F"/>
    <w:rsid w:val="006718BA"/>
    <w:rsid w:val="00825DAF"/>
    <w:rsid w:val="00900F45"/>
    <w:rsid w:val="00F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56" w:after="156"/>
      <w:outlineLvl w:val="1"/>
    </w:pPr>
    <w:rPr>
      <w:szCs w:val="21"/>
    </w:rPr>
  </w:style>
  <w:style w:type="paragraph" w:styleId="3">
    <w:name w:val="heading 3"/>
    <w:basedOn w:val="a"/>
    <w:next w:val="a"/>
    <w:uiPriority w:val="99"/>
    <w:qFormat/>
    <w:rsid w:val="00B74129"/>
    <w:pPr>
      <w:keepNext/>
      <w:keepLines/>
      <w:spacing w:before="300" w:after="300" w:line="241" w:lineRule="auto"/>
      <w:jc w:val="both"/>
      <w:outlineLvl w:val="2"/>
    </w:pPr>
    <w:rPr>
      <w:rFonts w:eastAsia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 1"/>
    <w:pPr>
      <w:jc w:val="right"/>
    </w:pPr>
    <w:rPr>
      <w:rFonts w:ascii="宋体" w:eastAsia="宋体"/>
      <w:sz w:val="18"/>
      <w:szCs w:val="18"/>
    </w:rPr>
  </w:style>
  <w:style w:type="paragraph" w:customStyle="1" w:styleId="headingh1">
    <w:name w:val="heading h1"/>
    <w:basedOn w:val="a"/>
    <w:next w:val="a"/>
    <w:uiPriority w:val="9"/>
    <w:qFormat/>
    <w:pPr>
      <w:keepNext/>
      <w:keepLines/>
      <w:spacing w:before="240" w:after="240" w:line="578" w:lineRule="auto"/>
      <w:outlineLvl w:val="0"/>
    </w:pPr>
    <w:rPr>
      <w:kern w:val="44"/>
      <w:sz w:val="44"/>
      <w:szCs w:val="44"/>
    </w:rPr>
  </w:style>
  <w:style w:type="paragraph" w:customStyle="1" w:styleId="fotter1">
    <w:name w:val="fotter 1"/>
    <w:pPr>
      <w:jc w:val="center"/>
    </w:pPr>
    <w:rPr>
      <w:rFonts w:ascii="仿宋" w:eastAsia="仿宋"/>
      <w:szCs w:val="21"/>
    </w:rPr>
  </w:style>
  <w:style w:type="paragraph" w:styleId="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uiPriority w:val="39"/>
    <w:unhideWhenUsed/>
    <w:pPr>
      <w:ind w:leftChars="200" w:left="420"/>
    </w:p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F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F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F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0F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0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56" w:after="156"/>
      <w:outlineLvl w:val="1"/>
    </w:pPr>
    <w:rPr>
      <w:szCs w:val="21"/>
    </w:rPr>
  </w:style>
  <w:style w:type="paragraph" w:styleId="3">
    <w:name w:val="heading 3"/>
    <w:basedOn w:val="a"/>
    <w:next w:val="a"/>
    <w:uiPriority w:val="99"/>
    <w:qFormat/>
    <w:rsid w:val="00B74129"/>
    <w:pPr>
      <w:keepNext/>
      <w:keepLines/>
      <w:spacing w:before="300" w:after="300" w:line="241" w:lineRule="auto"/>
      <w:jc w:val="both"/>
      <w:outlineLvl w:val="2"/>
    </w:pPr>
    <w:rPr>
      <w:rFonts w:eastAsia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 1"/>
    <w:pPr>
      <w:jc w:val="right"/>
    </w:pPr>
    <w:rPr>
      <w:rFonts w:ascii="宋体" w:eastAsia="宋体"/>
      <w:sz w:val="18"/>
      <w:szCs w:val="18"/>
    </w:rPr>
  </w:style>
  <w:style w:type="paragraph" w:customStyle="1" w:styleId="headingh1">
    <w:name w:val="heading h1"/>
    <w:basedOn w:val="a"/>
    <w:next w:val="a"/>
    <w:uiPriority w:val="9"/>
    <w:qFormat/>
    <w:pPr>
      <w:keepNext/>
      <w:keepLines/>
      <w:spacing w:before="240" w:after="240" w:line="578" w:lineRule="auto"/>
      <w:outlineLvl w:val="0"/>
    </w:pPr>
    <w:rPr>
      <w:kern w:val="44"/>
      <w:sz w:val="44"/>
      <w:szCs w:val="44"/>
    </w:rPr>
  </w:style>
  <w:style w:type="paragraph" w:customStyle="1" w:styleId="fotter1">
    <w:name w:val="fotter 1"/>
    <w:pPr>
      <w:jc w:val="center"/>
    </w:pPr>
    <w:rPr>
      <w:rFonts w:ascii="仿宋" w:eastAsia="仿宋"/>
      <w:szCs w:val="21"/>
    </w:rPr>
  </w:style>
  <w:style w:type="paragraph" w:styleId="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uiPriority w:val="39"/>
    <w:unhideWhenUsed/>
    <w:pPr>
      <w:ind w:leftChars="200" w:left="420"/>
    </w:p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F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F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F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0F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0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3</cp:revision>
  <dcterms:created xsi:type="dcterms:W3CDTF">2025-04-25T09:27:00Z</dcterms:created>
  <dcterms:modified xsi:type="dcterms:W3CDTF">2025-04-25T09:55:00Z</dcterms:modified>
</cp:coreProperties>
</file>