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AA57A">
      <w:pPr>
        <w:spacing w:line="360" w:lineRule="auto"/>
        <w:jc w:val="center"/>
        <w:rPr>
          <w:rFonts w:asciiTheme="minorEastAsia" w:hAnsiTheme="minorEastAsia"/>
          <w:b/>
          <w:sz w:val="36"/>
          <w:szCs w:val="28"/>
        </w:rPr>
      </w:pPr>
      <w:r>
        <w:rPr>
          <w:rFonts w:hint="eastAsia" w:asciiTheme="minorEastAsia" w:hAnsiTheme="minorEastAsia"/>
          <w:b/>
          <w:sz w:val="36"/>
          <w:szCs w:val="28"/>
        </w:rPr>
        <w:t>华孚时尚股份有限公司</w:t>
      </w:r>
    </w:p>
    <w:p w14:paraId="08CC5C38">
      <w:pPr>
        <w:spacing w:line="360" w:lineRule="auto"/>
        <w:jc w:val="center"/>
        <w:rPr>
          <w:rFonts w:asciiTheme="minorEastAsia" w:hAnsiTheme="minorEastAsia"/>
          <w:b/>
          <w:sz w:val="36"/>
          <w:szCs w:val="28"/>
        </w:rPr>
      </w:pPr>
      <w:r>
        <w:rPr>
          <w:rFonts w:hint="eastAsia" w:asciiTheme="minorEastAsia" w:hAnsiTheme="minorEastAsia"/>
          <w:b/>
          <w:sz w:val="36"/>
          <w:szCs w:val="28"/>
        </w:rPr>
        <w:t>2024年度内部控制自我评价报告</w:t>
      </w:r>
    </w:p>
    <w:p w14:paraId="311E177B">
      <w:pPr>
        <w:spacing w:line="500" w:lineRule="exact"/>
        <w:rPr>
          <w:rFonts w:asciiTheme="minorEastAsia" w:hAnsiTheme="minorEastAsia"/>
          <w:b/>
          <w:sz w:val="24"/>
          <w:szCs w:val="24"/>
        </w:rPr>
      </w:pPr>
      <w:r>
        <w:rPr>
          <w:rFonts w:hint="eastAsia" w:asciiTheme="minorEastAsia" w:hAnsiTheme="minorEastAsia"/>
          <w:b/>
          <w:sz w:val="24"/>
          <w:szCs w:val="24"/>
        </w:rPr>
        <w:t>华孚时尚股份有限公司全体股东：</w:t>
      </w:r>
    </w:p>
    <w:p w14:paraId="71BF73C6">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2024年12月31日（内部控制评价报告基准日）的内部控制有效性进行了评价。</w:t>
      </w:r>
    </w:p>
    <w:p w14:paraId="454BB0F1">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一、重要声明</w:t>
      </w:r>
    </w:p>
    <w:p w14:paraId="633B8AB8">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14:paraId="712FFAE5">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14:paraId="7E349ADB">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二、内部控制评价结论</w:t>
      </w:r>
    </w:p>
    <w:p w14:paraId="00A74013">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p w14:paraId="5A40A501">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根据公司非财务报告内部控制重大缺陷认定情况，于内部控制评价报告基准日，公司未发现非财务报告内部控制重大缺陷。自内部控制评价报告基准日至内部控制评价报告发出日之间未发生影响内部控制有效性评价结论的因素。</w:t>
      </w:r>
    </w:p>
    <w:p w14:paraId="3B537DE1">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三、内部控制评价工作情况</w:t>
      </w:r>
    </w:p>
    <w:p w14:paraId="42B0FF0E">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 xml:space="preserve">（一）内部控制评价范围 </w:t>
      </w:r>
    </w:p>
    <w:p w14:paraId="25C01BDB">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按照风险导向原则确定纳入评价范围的主要单位、业务和事项以及高风险领域。纳入评价范围的主要单位包括：华孚时尚股份有限公司本部、深圳市华孚进出口有限公司、浙江华孚色纺有限公司、宁波华孚东浩实业有限公司、阿克苏华孚色纺有限公司、新疆六孚纺织工业园有限公司、奎屯锦孚纺织有限公司、顺道（越南）实业独资有限公司、新疆华孚棉业集团有限公司、新疆棉花交易市场有限责任公司、诸暨市卡拉美拉科技有限公司；纳入评价范围的主要业务和事项包括:公司治理层面：组织架构、发展战略、人力资源、社会责任、企业文化、风险评估、信息沟通、内部监督和自我评价、舞弊风险控制与应对。业务流程层面:资金活动、采购业务、资产管理、销售业务、研究开发、工程项目、担保业务、关联方及其交易、法律事务、财务报告、预算管理、合同管理、内部信息传递、信息系统。重点关注产品市场占有率保持增长的风险；原材料采购中市场价格波动的风险；新产品研发及推广的风险；工程建设支出、存货管理和资金管理等高风险领域。</w:t>
      </w:r>
    </w:p>
    <w:p w14:paraId="34F8142F">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上述纳入评价范围的单位、业务和事项以及高风险领域涵盖了公司经营管理的主要方面，不存在重大遗漏。</w:t>
      </w:r>
    </w:p>
    <w:p w14:paraId="33652BC7">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 xml:space="preserve">（二)内部控制评价工作依据及内部控制缺陷认定标准 </w:t>
      </w:r>
    </w:p>
    <w:p w14:paraId="62C6CB15">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公司依据企业内部控制规范体系及《对控股子公司的内部控制制度》、《风险管理程序》等相关具体规范以及本公司的实际情况组织开展内部控制评价工作。</w:t>
      </w:r>
    </w:p>
    <w:p w14:paraId="1217C7DD">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对以前年度的缺陷的定性标准做了适当修订，定量标准与以前年度保持一致。</w:t>
      </w:r>
    </w:p>
    <w:p w14:paraId="1F4FA1E5">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公司确定的内部控制缺陷认定标准如下：</w:t>
      </w:r>
    </w:p>
    <w:p w14:paraId="75644315">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1.财务报告内部控制缺陷认定标准 </w:t>
      </w:r>
    </w:p>
    <w:p w14:paraId="7D3C9467">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公司确定的财务报告内部控制缺陷评价的定量标准如下：</w:t>
      </w:r>
    </w:p>
    <w:p w14:paraId="5EA4998E">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定量标准以营业收入、资产总额作为衡量指标。 </w:t>
      </w:r>
    </w:p>
    <w:p w14:paraId="057F5F5F">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内部控制缺陷可能导致或导致的损失与利润表相关的，以营业收入指标衡量。如果该缺陷单独或连同其他缺陷可能导致的财务报告错报金额小于营业收入的0.5%，则认定为一般缺陷；如果超过营业收入的0.5%但小于1%，则为重要缺陷；如果超过营业收入的1%，则认定为重大缺陷。</w:t>
      </w:r>
    </w:p>
    <w:p w14:paraId="0FB41DB5">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内部控制缺陷可能导致或导致的损失与资产管理相关的，以资产总额指标衡量。如果该缺陷单独或连同其他缺陷可能导致的财务报告错报金额小于资产总额的0.5%，则认定为一般缺陷；如果超过资产总额的0.5%但小于1%认定为重要缺陷；如果超过资产总额1%，则认定为重大缺陷。</w:t>
      </w:r>
    </w:p>
    <w:p w14:paraId="7830712C">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公司确定的财务报告内部控制缺陷评价的定性标准如下：</w:t>
      </w:r>
    </w:p>
    <w:p w14:paraId="6F1CEDEF">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（1）重大缺陷：单独缺陷或连同其他缺陷导致不能及时防止或发现并纠正财务报告中的重大错报。出现下列情形的，认定为重大缺陷：</w:t>
      </w:r>
    </w:p>
    <w:p w14:paraId="7E3AFF14">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asciiTheme="minorEastAsia" w:hAnsiTheme="minorEastAsia"/>
          <w:sz w:val="24"/>
          <w:szCs w:val="24"/>
        </w:rPr>
        <w:t>经监管部门认定</w:t>
      </w:r>
      <w:r>
        <w:rPr>
          <w:rFonts w:hint="eastAsia" w:asciiTheme="minorEastAsia" w:hAnsiTheme="minorEastAsia"/>
          <w:sz w:val="24"/>
          <w:szCs w:val="24"/>
        </w:rPr>
        <w:t>控制环境无效；</w:t>
      </w:r>
      <w:r>
        <w:rPr>
          <w:rFonts w:asciiTheme="minorEastAsia" w:hAnsiTheme="minorEastAsia"/>
          <w:sz w:val="24"/>
          <w:szCs w:val="24"/>
        </w:rPr>
        <w:t xml:space="preserve"> </w:t>
      </w:r>
    </w:p>
    <w:p w14:paraId="4E71250C">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董事、监事和高级管理人员舞弊行为；</w:t>
      </w:r>
    </w:p>
    <w:p w14:paraId="371F617A">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asciiTheme="minorEastAsia" w:hAnsiTheme="minorEastAsia"/>
          <w:sz w:val="24"/>
          <w:szCs w:val="24"/>
        </w:rPr>
        <w:t>因存在重大错报，</w:t>
      </w:r>
      <w:r>
        <w:rPr>
          <w:rFonts w:hint="eastAsia" w:asciiTheme="minorEastAsia" w:hAnsiTheme="minorEastAsia"/>
          <w:sz w:val="24"/>
          <w:szCs w:val="24"/>
        </w:rPr>
        <w:t>公司更正已经公布的财务报告；</w:t>
      </w:r>
    </w:p>
    <w:p w14:paraId="1CCA5566">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4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④</w:t>
      </w:r>
      <w:r>
        <w:rPr>
          <w:rFonts w:asciiTheme="minorEastAsia" w:hAnsiTheme="minorEastAsia"/>
          <w:sz w:val="24"/>
          <w:szCs w:val="24"/>
        </w:rPr>
        <w:fldChar w:fldCharType="end"/>
      </w:r>
      <w:r>
        <w:rPr>
          <w:rFonts w:hint="eastAsia" w:asciiTheme="minorEastAsia" w:hAnsiTheme="minorEastAsia"/>
          <w:sz w:val="24"/>
          <w:szCs w:val="24"/>
        </w:rPr>
        <w:t>外部审计发现当期财务报告存在重大错报，公司在运行过程中未能发现该错报；</w:t>
      </w:r>
    </w:p>
    <w:p w14:paraId="3ECBA6A1">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5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⑤</w:t>
      </w:r>
      <w:r>
        <w:rPr>
          <w:rFonts w:asciiTheme="minorEastAsia" w:hAnsiTheme="minorEastAsia"/>
          <w:sz w:val="24"/>
          <w:szCs w:val="24"/>
        </w:rPr>
        <w:fldChar w:fldCharType="end"/>
      </w:r>
      <w:r>
        <w:rPr>
          <w:rFonts w:hint="eastAsia" w:asciiTheme="minorEastAsia" w:hAnsiTheme="minorEastAsia"/>
          <w:sz w:val="24"/>
          <w:szCs w:val="24"/>
        </w:rPr>
        <w:t>已经发现并报告给管理层的重大缺陷在合理的时间后未加以改正；</w:t>
      </w:r>
    </w:p>
    <w:p w14:paraId="26014543">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6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⑥</w:t>
      </w:r>
      <w:r>
        <w:rPr>
          <w:rFonts w:asciiTheme="minorEastAsia" w:hAnsiTheme="minorEastAsia"/>
          <w:sz w:val="24"/>
          <w:szCs w:val="24"/>
        </w:rPr>
        <w:fldChar w:fldCharType="end"/>
      </w:r>
      <w:r>
        <w:rPr>
          <w:rFonts w:hint="eastAsia" w:asciiTheme="minorEastAsia" w:hAnsiTheme="minorEastAsia"/>
          <w:sz w:val="24"/>
          <w:szCs w:val="24"/>
        </w:rPr>
        <w:t>公司审计委员会和内部审计部对内部控制的监督无效；</w:t>
      </w:r>
    </w:p>
    <w:p w14:paraId="702C5CA6">
      <w:pPr>
        <w:spacing w:line="5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7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⑦</w:t>
      </w:r>
      <w:r>
        <w:rPr>
          <w:rFonts w:asciiTheme="minorEastAsia" w:hAnsiTheme="minorEastAsia"/>
          <w:sz w:val="24"/>
          <w:szCs w:val="24"/>
        </w:rPr>
        <w:fldChar w:fldCharType="end"/>
      </w:r>
      <w:r>
        <w:rPr>
          <w:rFonts w:hint="eastAsia" w:asciiTheme="minorEastAsia" w:hAnsiTheme="minorEastAsia"/>
          <w:sz w:val="24"/>
          <w:szCs w:val="24"/>
        </w:rPr>
        <w:t>因会计差错导致的监管机构处罚；</w:t>
      </w:r>
    </w:p>
    <w:p w14:paraId="4DBA37E3">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⑧其他可能影响报表使用者正确判断的重大缺陷；</w:t>
      </w:r>
    </w:p>
    <w:p w14:paraId="59A54A05">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（2）重要缺陷：单独缺陷或连同其他缺陷导致不能及时防止或发现并纠正财务报告中虽然未达到和超过重要性水平，仍应引起管理层重视的错报。</w:t>
      </w:r>
    </w:p>
    <w:p w14:paraId="2FDB04AB">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（3）一般缺陷：不构成重大缺陷或重要缺陷的其他内部控制缺陷。</w:t>
      </w:r>
    </w:p>
    <w:p w14:paraId="7DFE7E61">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2.非财务报告内部控制缺陷认定标准 </w:t>
      </w:r>
    </w:p>
    <w:p w14:paraId="0904A809">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公司确定的非财务报告内部控制缺陷评价的定量标准如下：</w:t>
      </w:r>
    </w:p>
    <w:tbl>
      <w:tblPr>
        <w:tblStyle w:val="4"/>
        <w:tblW w:w="0" w:type="auto"/>
        <w:tblInd w:w="109" w:type="dxa"/>
        <w:tblLayout w:type="autofit"/>
        <w:tblCellMar>
          <w:top w:w="0" w:type="dxa"/>
          <w:left w:w="0" w:type="dxa"/>
          <w:bottom w:w="0" w:type="dxa"/>
          <w:right w:w="0" w:type="dxa"/>
        </w:tblCellMar>
      </w:tblPr>
      <w:tblGrid>
        <w:gridCol w:w="1029"/>
        <w:gridCol w:w="3258"/>
        <w:gridCol w:w="3915"/>
      </w:tblGrid>
      <w:tr w14:paraId="00660EEF">
        <w:tblPrEx>
          <w:tblCellMar>
            <w:top w:w="0" w:type="dxa"/>
            <w:left w:w="0" w:type="dxa"/>
            <w:bottom w:w="0" w:type="dxa"/>
            <w:right w:w="0" w:type="dxa"/>
          </w:tblCellMar>
        </w:tblPrEx>
        <w:trPr>
          <w:trHeight w:val="490" w:hRule="exact"/>
        </w:trPr>
        <w:tc>
          <w:tcPr>
            <w:tcW w:w="1030" w:type="dxa"/>
            <w:tcBorders>
              <w:top w:val="nil"/>
              <w:left w:val="single" w:color="000000" w:sz="4" w:space="0"/>
              <w:bottom w:val="single" w:color="000000" w:sz="4" w:space="0"/>
              <w:right w:val="single" w:color="000000" w:sz="4" w:space="0"/>
            </w:tcBorders>
            <w:shd w:val="clear" w:color="auto" w:fill="959595"/>
            <w:vAlign w:val="center"/>
          </w:tcPr>
          <w:p w14:paraId="7286AFEE">
            <w:pPr>
              <w:spacing w:before="50"/>
              <w:ind w:left="102" w:right="-20"/>
              <w:rPr>
                <w:rFonts w:ascii="宋体" w:hAnsi="宋体" w:eastAsia="宋体" w:cs="宋体"/>
                <w:kern w:val="0"/>
                <w:szCs w:val="21"/>
                <w:lang w:eastAsia="en-US"/>
              </w:rPr>
            </w:pPr>
            <w:r>
              <w:rPr>
                <w:rFonts w:hint="eastAsia" w:ascii="宋体" w:hAnsi="宋体" w:eastAsia="宋体" w:cs="宋体"/>
                <w:spacing w:val="1"/>
                <w:kern w:val="0"/>
                <w:szCs w:val="21"/>
                <w:lang w:eastAsia="en-US"/>
              </w:rPr>
              <w:t>缺</w:t>
            </w:r>
            <w:r>
              <w:rPr>
                <w:rFonts w:hint="eastAsia" w:ascii="宋体" w:hAnsi="宋体" w:eastAsia="宋体" w:cs="宋体"/>
                <w:kern w:val="0"/>
                <w:szCs w:val="21"/>
                <w:lang w:eastAsia="en-US"/>
              </w:rPr>
              <w:t>陷认定</w:t>
            </w:r>
          </w:p>
        </w:tc>
        <w:tc>
          <w:tcPr>
            <w:tcW w:w="3261" w:type="dxa"/>
            <w:tcBorders>
              <w:top w:val="nil"/>
              <w:left w:val="single" w:color="000000" w:sz="4" w:space="0"/>
              <w:bottom w:val="single" w:color="000000" w:sz="4" w:space="0"/>
              <w:right w:val="single" w:color="000000" w:sz="4" w:space="0"/>
            </w:tcBorders>
            <w:shd w:val="clear" w:color="auto" w:fill="959595"/>
            <w:vAlign w:val="center"/>
          </w:tcPr>
          <w:p w14:paraId="36189C23">
            <w:pPr>
              <w:spacing w:before="50"/>
              <w:ind w:right="-20" w:firstLine="318" w:firstLineChars="150"/>
              <w:rPr>
                <w:rFonts w:ascii="宋体" w:hAnsi="宋体" w:eastAsia="宋体" w:cs="宋体"/>
                <w:kern w:val="0"/>
                <w:szCs w:val="21"/>
                <w:lang w:eastAsia="en-US"/>
              </w:rPr>
            </w:pPr>
            <w:r>
              <w:rPr>
                <w:rFonts w:hint="eastAsia" w:ascii="宋体" w:hAnsi="宋体" w:eastAsia="宋体" w:cs="宋体"/>
                <w:spacing w:val="1"/>
                <w:kern w:val="0"/>
                <w:szCs w:val="21"/>
                <w:lang w:eastAsia="en-US"/>
              </w:rPr>
              <w:t>直</w:t>
            </w:r>
            <w:r>
              <w:rPr>
                <w:rFonts w:hint="eastAsia" w:ascii="宋体" w:hAnsi="宋体" w:eastAsia="宋体" w:cs="宋体"/>
                <w:kern w:val="0"/>
                <w:szCs w:val="21"/>
                <w:lang w:eastAsia="en-US"/>
              </w:rPr>
              <w:t>接财</w:t>
            </w:r>
            <w:r>
              <w:rPr>
                <w:rFonts w:hint="eastAsia" w:ascii="宋体" w:hAnsi="宋体" w:eastAsia="宋体" w:cs="宋体"/>
                <w:spacing w:val="1"/>
                <w:kern w:val="0"/>
                <w:szCs w:val="21"/>
                <w:lang w:eastAsia="en-US"/>
              </w:rPr>
              <w:t>产</w:t>
            </w:r>
            <w:r>
              <w:rPr>
                <w:rFonts w:hint="eastAsia" w:ascii="宋体" w:hAnsi="宋体" w:eastAsia="宋体" w:cs="宋体"/>
                <w:kern w:val="0"/>
                <w:szCs w:val="21"/>
                <w:lang w:eastAsia="en-US"/>
              </w:rPr>
              <w:t>损失</w:t>
            </w:r>
            <w:r>
              <w:rPr>
                <w:rFonts w:hint="eastAsia" w:ascii="宋体" w:hAnsi="宋体" w:eastAsia="宋体" w:cs="宋体"/>
                <w:spacing w:val="1"/>
                <w:kern w:val="0"/>
                <w:szCs w:val="21"/>
                <w:lang w:eastAsia="en-US"/>
              </w:rPr>
              <w:t>金</w:t>
            </w:r>
            <w:r>
              <w:rPr>
                <w:rFonts w:hint="eastAsia" w:ascii="宋体" w:hAnsi="宋体" w:eastAsia="宋体" w:cs="宋体"/>
                <w:kern w:val="0"/>
                <w:szCs w:val="21"/>
                <w:lang w:eastAsia="en-US"/>
              </w:rPr>
              <w:t>额</w:t>
            </w:r>
          </w:p>
          <w:p w14:paraId="46CA2607">
            <w:pPr>
              <w:rPr>
                <w:rFonts w:ascii="宋体" w:hAnsi="宋体" w:eastAsia="宋体" w:cs="宋体"/>
                <w:szCs w:val="21"/>
                <w:lang w:eastAsia="en-US"/>
              </w:rPr>
            </w:pPr>
          </w:p>
          <w:p w14:paraId="25140F0D">
            <w:pPr>
              <w:rPr>
                <w:rFonts w:ascii="宋体" w:hAnsi="宋体" w:eastAsia="宋体" w:cs="宋体"/>
                <w:szCs w:val="21"/>
                <w:lang w:eastAsia="en-US"/>
              </w:rPr>
            </w:pPr>
          </w:p>
          <w:p w14:paraId="511EA8C6">
            <w:pPr>
              <w:rPr>
                <w:rFonts w:ascii="宋体" w:hAnsi="宋体" w:eastAsia="宋体" w:cs="宋体"/>
                <w:szCs w:val="21"/>
                <w:lang w:eastAsia="en-US"/>
              </w:rPr>
            </w:pPr>
          </w:p>
          <w:p w14:paraId="4126F1C8">
            <w:pPr>
              <w:rPr>
                <w:rFonts w:ascii="宋体" w:hAnsi="宋体" w:eastAsia="宋体" w:cs="宋体"/>
                <w:szCs w:val="21"/>
                <w:lang w:eastAsia="en-US"/>
              </w:rPr>
            </w:pPr>
          </w:p>
          <w:p w14:paraId="2C8B5076">
            <w:pPr>
              <w:rPr>
                <w:rFonts w:ascii="宋体" w:hAnsi="宋体" w:eastAsia="宋体" w:cs="宋体"/>
                <w:szCs w:val="21"/>
                <w:lang w:eastAsia="en-US"/>
              </w:rPr>
            </w:pPr>
          </w:p>
          <w:p w14:paraId="07E20DB6">
            <w:pPr>
              <w:rPr>
                <w:rFonts w:ascii="宋体" w:hAnsi="宋体" w:eastAsia="宋体" w:cs="宋体"/>
                <w:szCs w:val="21"/>
                <w:lang w:eastAsia="en-US"/>
              </w:rPr>
            </w:pPr>
          </w:p>
        </w:tc>
        <w:tc>
          <w:tcPr>
            <w:tcW w:w="3916" w:type="dxa"/>
            <w:tcBorders>
              <w:top w:val="nil"/>
              <w:left w:val="single" w:color="000000" w:sz="4" w:space="0"/>
              <w:bottom w:val="single" w:color="000000" w:sz="4" w:space="0"/>
              <w:right w:val="single" w:color="000000" w:sz="4" w:space="0"/>
            </w:tcBorders>
            <w:shd w:val="clear" w:color="auto" w:fill="959595"/>
            <w:vAlign w:val="center"/>
          </w:tcPr>
          <w:p w14:paraId="7CFD17F5">
            <w:pPr>
              <w:spacing w:before="50"/>
              <w:ind w:left="1198" w:right="1181"/>
              <w:rPr>
                <w:rFonts w:ascii="宋体" w:hAnsi="宋体" w:eastAsia="宋体" w:cs="宋体"/>
                <w:kern w:val="0"/>
                <w:szCs w:val="21"/>
                <w:lang w:eastAsia="en-US"/>
              </w:rPr>
            </w:pPr>
            <w:r>
              <w:rPr>
                <w:rFonts w:hint="eastAsia" w:ascii="宋体" w:hAnsi="宋体" w:eastAsia="宋体" w:cs="宋体"/>
                <w:spacing w:val="1"/>
                <w:kern w:val="0"/>
                <w:szCs w:val="21"/>
                <w:lang w:eastAsia="en-US"/>
              </w:rPr>
              <w:t>重</w:t>
            </w:r>
            <w:r>
              <w:rPr>
                <w:rFonts w:hint="eastAsia" w:ascii="宋体" w:hAnsi="宋体" w:eastAsia="宋体" w:cs="宋体"/>
                <w:kern w:val="0"/>
                <w:szCs w:val="21"/>
                <w:lang w:eastAsia="en-US"/>
              </w:rPr>
              <w:t>大负</w:t>
            </w:r>
            <w:r>
              <w:rPr>
                <w:rFonts w:hint="eastAsia" w:ascii="宋体" w:hAnsi="宋体" w:eastAsia="宋体" w:cs="宋体"/>
                <w:spacing w:val="1"/>
                <w:kern w:val="0"/>
                <w:szCs w:val="21"/>
                <w:lang w:eastAsia="en-US"/>
              </w:rPr>
              <w:t>面</w:t>
            </w:r>
            <w:r>
              <w:rPr>
                <w:rFonts w:hint="eastAsia" w:ascii="宋体" w:hAnsi="宋体" w:eastAsia="宋体" w:cs="宋体"/>
                <w:kern w:val="0"/>
                <w:szCs w:val="21"/>
                <w:lang w:eastAsia="en-US"/>
              </w:rPr>
              <w:t>影响</w:t>
            </w:r>
          </w:p>
        </w:tc>
      </w:tr>
      <w:tr w14:paraId="76CE8F35">
        <w:tblPrEx>
          <w:tblCellMar>
            <w:top w:w="0" w:type="dxa"/>
            <w:left w:w="0" w:type="dxa"/>
            <w:bottom w:w="0" w:type="dxa"/>
            <w:right w:w="0" w:type="dxa"/>
          </w:tblCellMar>
        </w:tblPrEx>
        <w:trPr>
          <w:trHeight w:val="752" w:hRule="exact"/>
        </w:trPr>
        <w:tc>
          <w:tcPr>
            <w:tcW w:w="1030" w:type="dxa"/>
            <w:tcBorders>
              <w:top w:val="single" w:color="000000" w:sz="4" w:space="0"/>
              <w:left w:val="single" w:color="000000" w:sz="4" w:space="0"/>
              <w:bottom w:val="single" w:color="000000" w:sz="4" w:space="0"/>
              <w:right w:val="single" w:color="000000" w:sz="4" w:space="0"/>
            </w:tcBorders>
            <w:vAlign w:val="center"/>
          </w:tcPr>
          <w:p w14:paraId="5CCEEE5D">
            <w:pPr>
              <w:ind w:right="-20"/>
              <w:rPr>
                <w:rFonts w:ascii="宋体" w:hAnsi="宋体" w:eastAsia="宋体" w:cs="宋体"/>
                <w:kern w:val="0"/>
                <w:szCs w:val="21"/>
                <w:lang w:eastAsia="en-US"/>
              </w:rPr>
            </w:pPr>
            <w:r>
              <w:rPr>
                <w:rFonts w:hint="eastAsia" w:ascii="宋体" w:hAnsi="宋体" w:eastAsia="宋体" w:cs="宋体"/>
                <w:kern w:val="0"/>
                <w:szCs w:val="21"/>
                <w:lang w:eastAsia="en-US"/>
              </w:rPr>
              <w:t>重大缺陷</w:t>
            </w:r>
          </w:p>
        </w:tc>
        <w:tc>
          <w:tcPr>
            <w:tcW w:w="3261" w:type="dxa"/>
            <w:tcBorders>
              <w:top w:val="single" w:color="000000" w:sz="4" w:space="0"/>
              <w:left w:val="single" w:color="000000" w:sz="4" w:space="0"/>
              <w:bottom w:val="single" w:color="000000" w:sz="4" w:space="0"/>
              <w:right w:val="single" w:color="000000" w:sz="4" w:space="0"/>
            </w:tcBorders>
            <w:vAlign w:val="center"/>
          </w:tcPr>
          <w:p w14:paraId="72F8E585">
            <w:pPr>
              <w:ind w:right="-20"/>
              <w:rPr>
                <w:rFonts w:ascii="宋体" w:hAnsi="宋体" w:eastAsia="宋体" w:cs="宋体"/>
                <w:kern w:val="0"/>
                <w:szCs w:val="21"/>
                <w:lang w:eastAsia="en-US"/>
              </w:rPr>
            </w:pPr>
            <w:r>
              <w:rPr>
                <w:rFonts w:hint="eastAsia" w:ascii="宋体" w:hAnsi="宋体" w:eastAsia="宋体" w:cs="宋体"/>
                <w:kern w:val="0"/>
                <w:szCs w:val="21"/>
                <w:lang w:eastAsia="en-US"/>
              </w:rPr>
              <w:t>1000万元</w:t>
            </w:r>
            <w:r>
              <w:rPr>
                <w:rFonts w:hint="eastAsia" w:ascii="宋体" w:hAnsi="宋体" w:eastAsia="宋体" w:cs="宋体"/>
                <w:spacing w:val="-1"/>
                <w:kern w:val="0"/>
                <w:szCs w:val="21"/>
                <w:lang w:eastAsia="en-US"/>
              </w:rPr>
              <w:t>以</w:t>
            </w:r>
            <w:r>
              <w:rPr>
                <w:rFonts w:hint="eastAsia" w:ascii="宋体" w:hAnsi="宋体" w:eastAsia="宋体" w:cs="宋体"/>
                <w:kern w:val="0"/>
                <w:szCs w:val="21"/>
                <w:lang w:eastAsia="en-US"/>
              </w:rPr>
              <w:t>上</w:t>
            </w:r>
          </w:p>
        </w:tc>
        <w:tc>
          <w:tcPr>
            <w:tcW w:w="3916" w:type="dxa"/>
            <w:tcBorders>
              <w:top w:val="single" w:color="000000" w:sz="4" w:space="0"/>
              <w:left w:val="single" w:color="000000" w:sz="4" w:space="0"/>
              <w:bottom w:val="single" w:color="000000" w:sz="4" w:space="0"/>
              <w:right w:val="single" w:color="000000" w:sz="4" w:space="0"/>
            </w:tcBorders>
            <w:vAlign w:val="center"/>
          </w:tcPr>
          <w:p w14:paraId="70330D3C">
            <w:pPr>
              <w:spacing w:before="52" w:line="241" w:lineRule="auto"/>
              <w:ind w:right="145"/>
              <w:rPr>
                <w:rFonts w:ascii="宋体" w:hAnsi="宋体" w:eastAsia="宋体" w:cs="宋体"/>
                <w:kern w:val="0"/>
                <w:szCs w:val="21"/>
              </w:rPr>
            </w:pPr>
            <w:r>
              <w:rPr>
                <w:rFonts w:hint="eastAsia" w:ascii="宋体" w:hAnsi="宋体" w:eastAsia="宋体" w:cs="宋体"/>
                <w:kern w:val="0"/>
                <w:szCs w:val="21"/>
              </w:rPr>
              <w:t>对公司造成较大负面影响并以公告形式对外披露</w:t>
            </w:r>
          </w:p>
        </w:tc>
      </w:tr>
      <w:tr w14:paraId="25290E6D">
        <w:tblPrEx>
          <w:tblCellMar>
            <w:top w:w="0" w:type="dxa"/>
            <w:left w:w="0" w:type="dxa"/>
            <w:bottom w:w="0" w:type="dxa"/>
            <w:right w:w="0" w:type="dxa"/>
          </w:tblCellMar>
        </w:tblPrEx>
        <w:trPr>
          <w:trHeight w:val="752" w:hRule="exact"/>
        </w:trPr>
        <w:tc>
          <w:tcPr>
            <w:tcW w:w="1030" w:type="dxa"/>
            <w:tcBorders>
              <w:top w:val="nil"/>
              <w:left w:val="single" w:color="000000" w:sz="4" w:space="0"/>
              <w:bottom w:val="single" w:color="000000" w:sz="4" w:space="0"/>
              <w:right w:val="single" w:color="000000" w:sz="4" w:space="0"/>
            </w:tcBorders>
            <w:vAlign w:val="center"/>
          </w:tcPr>
          <w:p w14:paraId="596BE292">
            <w:pPr>
              <w:ind w:right="-20"/>
              <w:rPr>
                <w:rFonts w:ascii="宋体" w:hAnsi="宋体" w:eastAsia="宋体" w:cs="宋体"/>
                <w:kern w:val="0"/>
                <w:szCs w:val="21"/>
                <w:lang w:eastAsia="en-US"/>
              </w:rPr>
            </w:pPr>
            <w:r>
              <w:rPr>
                <w:rFonts w:hint="eastAsia" w:ascii="宋体" w:hAnsi="宋体" w:eastAsia="宋体" w:cs="宋体"/>
                <w:kern w:val="0"/>
                <w:szCs w:val="21"/>
              </w:rPr>
              <w:t>重</w:t>
            </w:r>
            <w:r>
              <w:rPr>
                <w:rFonts w:hint="eastAsia" w:ascii="宋体" w:hAnsi="宋体" w:eastAsia="宋体" w:cs="宋体"/>
                <w:kern w:val="0"/>
                <w:szCs w:val="21"/>
                <w:lang w:eastAsia="en-US"/>
              </w:rPr>
              <w:t>要缺陷</w:t>
            </w:r>
          </w:p>
        </w:tc>
        <w:tc>
          <w:tcPr>
            <w:tcW w:w="3261" w:type="dxa"/>
            <w:tcBorders>
              <w:top w:val="nil"/>
              <w:left w:val="single" w:color="000000" w:sz="4" w:space="0"/>
              <w:bottom w:val="single" w:color="000000" w:sz="4" w:space="0"/>
              <w:right w:val="single" w:color="000000" w:sz="4" w:space="0"/>
            </w:tcBorders>
            <w:vAlign w:val="center"/>
          </w:tcPr>
          <w:p w14:paraId="02D808FE">
            <w:pPr>
              <w:spacing w:before="5" w:line="140" w:lineRule="exact"/>
              <w:rPr>
                <w:rFonts w:ascii="宋体" w:hAnsi="宋体" w:eastAsia="宋体" w:cs="Times New Roman"/>
                <w:kern w:val="0"/>
                <w:szCs w:val="21"/>
                <w:lang w:eastAsia="en-US"/>
              </w:rPr>
            </w:pPr>
          </w:p>
          <w:p w14:paraId="514CD289">
            <w:pPr>
              <w:ind w:right="-74"/>
              <w:rPr>
                <w:rFonts w:ascii="宋体" w:hAnsi="宋体" w:eastAsia="宋体" w:cs="宋体"/>
                <w:kern w:val="0"/>
                <w:szCs w:val="21"/>
              </w:rPr>
            </w:pPr>
            <w:r>
              <w:rPr>
                <w:rFonts w:hint="eastAsia" w:ascii="宋体" w:hAnsi="宋体" w:eastAsia="宋体" w:cs="宋体"/>
                <w:spacing w:val="1"/>
                <w:kern w:val="0"/>
                <w:szCs w:val="21"/>
              </w:rPr>
              <w:t>100万元-1000万元(含1000万元)</w:t>
            </w:r>
          </w:p>
        </w:tc>
        <w:tc>
          <w:tcPr>
            <w:tcW w:w="3916" w:type="dxa"/>
            <w:tcBorders>
              <w:top w:val="nil"/>
              <w:left w:val="single" w:color="000000" w:sz="4" w:space="0"/>
              <w:bottom w:val="single" w:color="000000" w:sz="4" w:space="0"/>
              <w:right w:val="single" w:color="000000" w:sz="4" w:space="0"/>
            </w:tcBorders>
            <w:vAlign w:val="center"/>
          </w:tcPr>
          <w:p w14:paraId="23ACEFA0">
            <w:pPr>
              <w:spacing w:before="19" w:line="312" w:lineRule="exact"/>
              <w:ind w:right="145"/>
              <w:rPr>
                <w:rFonts w:ascii="宋体" w:hAnsi="宋体" w:eastAsia="宋体" w:cs="宋体"/>
                <w:kern w:val="0"/>
                <w:szCs w:val="21"/>
              </w:rPr>
            </w:pPr>
            <w:r>
              <w:rPr>
                <w:rFonts w:hint="eastAsia" w:ascii="宋体" w:hAnsi="宋体" w:eastAsia="宋体" w:cs="宋体"/>
                <w:kern w:val="0"/>
                <w:szCs w:val="21"/>
              </w:rPr>
              <w:t>或受到国家政府部门处罚但未</w:t>
            </w:r>
            <w:r>
              <w:rPr>
                <w:rFonts w:hint="eastAsia" w:ascii="宋体" w:hAnsi="宋体" w:eastAsia="宋体" w:cs="宋体"/>
                <w:kern w:val="0"/>
                <w:szCs w:val="21"/>
                <w:lang w:val="en-US" w:eastAsia="zh-CN"/>
              </w:rPr>
              <w:t>对</w:t>
            </w:r>
            <w:r>
              <w:rPr>
                <w:rFonts w:hint="eastAsia" w:ascii="宋体" w:hAnsi="宋体" w:eastAsia="宋体" w:cs="宋体"/>
                <w:kern w:val="0"/>
                <w:szCs w:val="21"/>
              </w:rPr>
              <w:t>公司造成负面影响</w:t>
            </w:r>
          </w:p>
        </w:tc>
      </w:tr>
      <w:tr w14:paraId="6BFF407B">
        <w:tblPrEx>
          <w:tblCellMar>
            <w:top w:w="0" w:type="dxa"/>
            <w:left w:w="0" w:type="dxa"/>
            <w:bottom w:w="0" w:type="dxa"/>
            <w:right w:w="0" w:type="dxa"/>
          </w:tblCellMar>
        </w:tblPrEx>
        <w:trPr>
          <w:trHeight w:val="837" w:hRule="exact"/>
        </w:trPr>
        <w:tc>
          <w:tcPr>
            <w:tcW w:w="1030" w:type="dxa"/>
            <w:tcBorders>
              <w:top w:val="single" w:color="000000" w:sz="4" w:space="0"/>
              <w:left w:val="single" w:color="000000" w:sz="4" w:space="0"/>
              <w:bottom w:val="single" w:color="000000" w:sz="4" w:space="0"/>
              <w:right w:val="single" w:color="000000" w:sz="4" w:space="0"/>
            </w:tcBorders>
            <w:vAlign w:val="center"/>
          </w:tcPr>
          <w:p w14:paraId="2F7CEC50">
            <w:pPr>
              <w:ind w:right="-20"/>
              <w:rPr>
                <w:rFonts w:ascii="宋体" w:hAnsi="宋体" w:eastAsia="宋体" w:cs="宋体"/>
                <w:kern w:val="0"/>
                <w:szCs w:val="21"/>
                <w:lang w:eastAsia="en-US"/>
              </w:rPr>
            </w:pPr>
            <w:r>
              <w:rPr>
                <w:rFonts w:hint="eastAsia" w:ascii="宋体" w:hAnsi="宋体" w:eastAsia="宋体" w:cs="宋体"/>
                <w:kern w:val="0"/>
                <w:szCs w:val="21"/>
                <w:lang w:eastAsia="en-US"/>
              </w:rPr>
              <w:t>一般缺陷</w:t>
            </w:r>
          </w:p>
        </w:tc>
        <w:tc>
          <w:tcPr>
            <w:tcW w:w="3261" w:type="dxa"/>
            <w:tcBorders>
              <w:top w:val="single" w:color="000000" w:sz="4" w:space="0"/>
              <w:left w:val="single" w:color="000000" w:sz="4" w:space="0"/>
              <w:bottom w:val="single" w:color="000000" w:sz="4" w:space="0"/>
              <w:right w:val="single" w:color="000000" w:sz="4" w:space="0"/>
            </w:tcBorders>
            <w:vAlign w:val="center"/>
          </w:tcPr>
          <w:p w14:paraId="3F6EAA32">
            <w:pPr>
              <w:ind w:right="-20"/>
              <w:rPr>
                <w:rFonts w:ascii="宋体" w:hAnsi="宋体" w:eastAsia="宋体" w:cs="宋体"/>
                <w:kern w:val="0"/>
                <w:szCs w:val="21"/>
                <w:lang w:eastAsia="en-US"/>
              </w:rPr>
            </w:pPr>
            <w:r>
              <w:rPr>
                <w:rFonts w:hint="eastAsia" w:ascii="宋体" w:hAnsi="宋体" w:eastAsia="宋体" w:cs="宋体"/>
                <w:kern w:val="0"/>
                <w:szCs w:val="21"/>
                <w:lang w:eastAsia="en-US"/>
              </w:rPr>
              <w:t>100万元</w:t>
            </w:r>
            <w:r>
              <w:rPr>
                <w:rFonts w:hint="eastAsia" w:ascii="宋体" w:hAnsi="宋体" w:eastAsia="宋体" w:cs="宋体"/>
                <w:spacing w:val="-1"/>
                <w:kern w:val="0"/>
                <w:szCs w:val="21"/>
                <w:lang w:eastAsia="en-US"/>
              </w:rPr>
              <w:t>（</w:t>
            </w:r>
            <w:r>
              <w:rPr>
                <w:rFonts w:hint="eastAsia" w:ascii="宋体" w:hAnsi="宋体" w:eastAsia="宋体" w:cs="宋体"/>
                <w:kern w:val="0"/>
                <w:szCs w:val="21"/>
                <w:lang w:eastAsia="en-US"/>
              </w:rPr>
              <w:t>含100万</w:t>
            </w:r>
            <w:r>
              <w:rPr>
                <w:rFonts w:hint="eastAsia" w:ascii="宋体" w:hAnsi="宋体" w:eastAsia="宋体" w:cs="宋体"/>
                <w:spacing w:val="-1"/>
                <w:kern w:val="0"/>
                <w:szCs w:val="21"/>
                <w:lang w:eastAsia="en-US"/>
              </w:rPr>
              <w:t>元</w:t>
            </w:r>
            <w:r>
              <w:rPr>
                <w:rFonts w:hint="eastAsia" w:ascii="宋体" w:hAnsi="宋体" w:eastAsia="宋体" w:cs="宋体"/>
                <w:kern w:val="0"/>
                <w:szCs w:val="21"/>
                <w:lang w:eastAsia="en-US"/>
              </w:rPr>
              <w:t>）以下</w:t>
            </w:r>
          </w:p>
        </w:tc>
        <w:tc>
          <w:tcPr>
            <w:tcW w:w="3916" w:type="dxa"/>
            <w:tcBorders>
              <w:top w:val="single" w:color="000000" w:sz="4" w:space="0"/>
              <w:left w:val="single" w:color="000000" w:sz="4" w:space="0"/>
              <w:bottom w:val="single" w:color="000000" w:sz="4" w:space="0"/>
              <w:right w:val="single" w:color="000000" w:sz="4" w:space="0"/>
            </w:tcBorders>
            <w:vAlign w:val="center"/>
          </w:tcPr>
          <w:p w14:paraId="7EC35E94">
            <w:pPr>
              <w:spacing w:before="8" w:line="120" w:lineRule="exact"/>
              <w:rPr>
                <w:rFonts w:ascii="宋体" w:hAnsi="宋体" w:eastAsia="宋体" w:cs="Times New Roman"/>
                <w:kern w:val="0"/>
                <w:szCs w:val="21"/>
              </w:rPr>
            </w:pPr>
          </w:p>
          <w:p w14:paraId="3438090E">
            <w:pPr>
              <w:spacing w:line="242" w:lineRule="auto"/>
              <w:ind w:right="36"/>
              <w:rPr>
                <w:rFonts w:ascii="宋体" w:hAnsi="宋体" w:eastAsia="宋体" w:cs="宋体"/>
                <w:kern w:val="0"/>
                <w:szCs w:val="21"/>
              </w:rPr>
            </w:pPr>
            <w:r>
              <w:rPr>
                <w:rFonts w:hint="eastAsia" w:ascii="宋体" w:hAnsi="宋体" w:eastAsia="宋体" w:cs="宋体"/>
                <w:kern w:val="0"/>
                <w:szCs w:val="21"/>
              </w:rPr>
              <w:t>受到省</w:t>
            </w:r>
            <w:r>
              <w:rPr>
                <w:rFonts w:hint="eastAsia" w:ascii="宋体" w:hAnsi="宋体" w:eastAsia="宋体" w:cs="宋体"/>
                <w:spacing w:val="-50"/>
                <w:kern w:val="0"/>
                <w:szCs w:val="21"/>
              </w:rPr>
              <w:t>级</w:t>
            </w:r>
            <w:r>
              <w:rPr>
                <w:rFonts w:hint="eastAsia" w:ascii="宋体" w:hAnsi="宋体" w:eastAsia="宋体" w:cs="宋体"/>
                <w:kern w:val="0"/>
                <w:szCs w:val="21"/>
              </w:rPr>
              <w:t>（含省级</w:t>
            </w:r>
            <w:r>
              <w:rPr>
                <w:rFonts w:hint="eastAsia" w:ascii="宋体" w:hAnsi="宋体" w:eastAsia="宋体" w:cs="宋体"/>
                <w:spacing w:val="-50"/>
                <w:kern w:val="0"/>
                <w:szCs w:val="21"/>
              </w:rPr>
              <w:t>）</w:t>
            </w:r>
            <w:r>
              <w:rPr>
                <w:rFonts w:hint="eastAsia" w:ascii="宋体" w:hAnsi="宋体" w:eastAsia="宋体" w:cs="宋体"/>
                <w:kern w:val="0"/>
                <w:szCs w:val="21"/>
              </w:rPr>
              <w:t>以下政府部门处罚但未对公司造成负面影响</w:t>
            </w:r>
          </w:p>
        </w:tc>
      </w:tr>
    </w:tbl>
    <w:p w14:paraId="7F87DEBB">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公司确定的非财务报告内部控制缺陷评价的定性标准如下：</w:t>
      </w:r>
    </w:p>
    <w:p w14:paraId="1F4DFF9A">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（1）重大缺陷：出现以下情形的，认定为重大缺陷，其他情形按影响程度分别确定为重要缺陷或一般缺陷。</w:t>
      </w:r>
    </w:p>
    <w:p w14:paraId="0F3BEFAC">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asciiTheme="minorEastAsia" w:hAnsiTheme="minorEastAsia"/>
          <w:sz w:val="24"/>
          <w:szCs w:val="24"/>
        </w:rPr>
        <w:t>严重</w:t>
      </w:r>
      <w:r>
        <w:rPr>
          <w:rFonts w:hint="eastAsia" w:asciiTheme="minorEastAsia" w:hAnsiTheme="minorEastAsia"/>
          <w:sz w:val="24"/>
          <w:szCs w:val="24"/>
        </w:rPr>
        <w:t>违犯国家法律、法规被处以重罚或承担刑事责任；</w:t>
      </w:r>
    </w:p>
    <w:p w14:paraId="022EAD21">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asciiTheme="minorEastAsia" w:hAnsiTheme="minorEastAsia"/>
          <w:sz w:val="24"/>
          <w:szCs w:val="24"/>
        </w:rPr>
        <w:t>生产故障造成重大停产事件；</w:t>
      </w:r>
    </w:p>
    <w:p w14:paraId="0130C505">
      <w:pPr>
        <w:spacing w:line="480" w:lineRule="exact"/>
        <w:ind w:firstLine="480" w:firstLineChars="200"/>
        <w:rPr>
          <w:rFonts w:asciiTheme="minorEastAsia" w:hAnsiTheme="minorEastAsia"/>
          <w:color w:val="FF0000"/>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对周围环境造成永久污染或无法弥补的破坏；</w:t>
      </w:r>
      <w:r>
        <w:rPr>
          <w:rFonts w:asciiTheme="minorEastAsia" w:hAnsiTheme="minorEastAsia"/>
          <w:color w:val="FF0000"/>
          <w:sz w:val="24"/>
          <w:szCs w:val="24"/>
        </w:rPr>
        <w:t xml:space="preserve"> </w:t>
      </w:r>
    </w:p>
    <w:p w14:paraId="16D77BC2">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4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④</w:t>
      </w:r>
      <w:r>
        <w:rPr>
          <w:rFonts w:asciiTheme="minorEastAsia" w:hAnsiTheme="minorEastAsia"/>
          <w:sz w:val="24"/>
          <w:szCs w:val="24"/>
        </w:rPr>
        <w:fldChar w:fldCharType="end"/>
      </w:r>
      <w:r>
        <w:rPr>
          <w:rFonts w:asciiTheme="minorEastAsia" w:hAnsiTheme="minorEastAsia"/>
          <w:sz w:val="24"/>
          <w:szCs w:val="24"/>
        </w:rPr>
        <w:t>重要</w:t>
      </w:r>
      <w:r>
        <w:rPr>
          <w:rFonts w:hint="eastAsia" w:asciiTheme="minorEastAsia" w:hAnsiTheme="minorEastAsia"/>
          <w:sz w:val="24"/>
          <w:szCs w:val="24"/>
        </w:rPr>
        <w:t>制度缺失可能导致系统性失效；</w:t>
      </w:r>
    </w:p>
    <w:p w14:paraId="77306C69">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5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⑤</w:t>
      </w:r>
      <w:r>
        <w:rPr>
          <w:rFonts w:asciiTheme="minorEastAsia" w:hAnsiTheme="minorEastAsia"/>
          <w:sz w:val="24"/>
          <w:szCs w:val="24"/>
        </w:rPr>
        <w:fldChar w:fldCharType="end"/>
      </w:r>
      <w:r>
        <w:rPr>
          <w:rFonts w:hint="eastAsia" w:asciiTheme="minorEastAsia" w:hAnsiTheme="minorEastAsia"/>
          <w:sz w:val="24"/>
          <w:szCs w:val="24"/>
        </w:rPr>
        <w:t>重大缺陷不能得到整改；</w:t>
      </w:r>
    </w:p>
    <w:p w14:paraId="111B4570">
      <w:pPr>
        <w:spacing w:line="480" w:lineRule="exact"/>
        <w:ind w:firstLine="480" w:firstLineChars="200"/>
      </w:pPr>
      <w:r>
        <w:rPr>
          <w:rFonts w:hint="eastAsia" w:asciiTheme="minorEastAsia" w:hAnsiTheme="minorEastAsia"/>
          <w:sz w:val="24"/>
          <w:szCs w:val="24"/>
        </w:rPr>
        <w:t>（2）重要缺陷:</w:t>
      </w:r>
      <w:r>
        <w:rPr>
          <w:rFonts w:hint="eastAsia"/>
        </w:rPr>
        <w:t xml:space="preserve"> </w:t>
      </w:r>
    </w:p>
    <w:p w14:paraId="2669A1C0">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违反国家法律、法规或规范</w:t>
      </w:r>
      <w:bookmarkStart w:id="0" w:name="_GoBack"/>
      <w:bookmarkEnd w:id="0"/>
      <w:r>
        <w:rPr>
          <w:rFonts w:hint="eastAsia" w:asciiTheme="minorEastAsia" w:hAnsiTheme="minorEastAsia"/>
          <w:sz w:val="24"/>
          <w:szCs w:val="24"/>
        </w:rPr>
        <w:t>性法律文件，如环境污染；</w:t>
      </w:r>
    </w:p>
    <w:p w14:paraId="582BD1ED">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决策程序不科学，决策失误；</w:t>
      </w:r>
      <w:r>
        <w:rPr>
          <w:rFonts w:asciiTheme="minorEastAsia" w:hAnsiTheme="minorEastAsia"/>
          <w:sz w:val="24"/>
          <w:szCs w:val="24"/>
        </w:rPr>
        <w:t xml:space="preserve"> </w:t>
      </w:r>
    </w:p>
    <w:p w14:paraId="587831E3">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重要业务制度或系统存在缺陷；</w:t>
      </w:r>
    </w:p>
    <w:p w14:paraId="796FD4E0">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4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④</w:t>
      </w:r>
      <w:r>
        <w:rPr>
          <w:rFonts w:asciiTheme="minorEastAsia" w:hAnsiTheme="minorEastAsia"/>
          <w:sz w:val="24"/>
          <w:szCs w:val="24"/>
        </w:rPr>
        <w:fldChar w:fldCharType="end"/>
      </w:r>
      <w:r>
        <w:rPr>
          <w:rFonts w:hint="eastAsia" w:asciiTheme="minorEastAsia" w:hAnsiTheme="minorEastAsia"/>
          <w:sz w:val="24"/>
          <w:szCs w:val="24"/>
        </w:rPr>
        <w:t>关键岗位业务人员流失严重；</w:t>
      </w:r>
    </w:p>
    <w:p w14:paraId="4D2F4171">
      <w:pPr>
        <w:spacing w:line="48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5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⑤</w:t>
      </w:r>
      <w:r>
        <w:rPr>
          <w:rFonts w:asciiTheme="minorEastAsia" w:hAnsiTheme="minorEastAsia"/>
          <w:sz w:val="24"/>
          <w:szCs w:val="24"/>
        </w:rPr>
        <w:fldChar w:fldCharType="end"/>
      </w:r>
      <w:r>
        <w:rPr>
          <w:rFonts w:hint="eastAsia" w:asciiTheme="minorEastAsia" w:hAnsiTheme="minorEastAsia"/>
          <w:sz w:val="24"/>
          <w:szCs w:val="24"/>
        </w:rPr>
        <w:t>内部控制评价的结果特别是重要缺陷未得到整改；</w:t>
      </w:r>
    </w:p>
    <w:p w14:paraId="732761FA">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（3）一般缺陷:决策程序效率不高；一般业务制度或系统存在缺陷；一般岗位业务人员流失严重；一般缺陷未得到整改。</w:t>
      </w:r>
    </w:p>
    <w:p w14:paraId="2D96B7FE">
      <w:pPr>
        <w:spacing w:line="480" w:lineRule="exact"/>
        <w:ind w:firstLine="482" w:firstLineChars="200"/>
        <w:rPr>
          <w:rFonts w:asciiTheme="minorEastAsia" w:hAnsiTheme="minorEastAsia"/>
          <w:b/>
          <w:sz w:val="24"/>
          <w:szCs w:val="24"/>
        </w:rPr>
      </w:pPr>
      <w:r>
        <w:rPr>
          <w:rFonts w:hint="eastAsia" w:asciiTheme="minorEastAsia" w:hAnsiTheme="minorEastAsia"/>
          <w:b/>
          <w:sz w:val="24"/>
          <w:szCs w:val="24"/>
        </w:rPr>
        <w:t>（三）内部控制缺陷认定及整改情况</w:t>
      </w:r>
    </w:p>
    <w:p w14:paraId="7978033C">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1.财务报告内部控制缺陷认定及整改情况</w:t>
      </w:r>
    </w:p>
    <w:p w14:paraId="652AF0A5">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根据上述财务报告内部控制缺陷的认定标准，报告期内公司不存在重大缺陷、重要缺陷。</w:t>
      </w:r>
    </w:p>
    <w:p w14:paraId="45A2923A">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2.非财务报告内部控制缺陷认定及整改情况</w:t>
      </w:r>
    </w:p>
    <w:p w14:paraId="3C579AE4">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根据上述非财务报告内部控制缺陷的认定标准，报告期内未发现公司非财务报告内部控制重大缺陷、重要缺陷。</w:t>
      </w:r>
    </w:p>
    <w:p w14:paraId="542690B9">
      <w:pPr>
        <w:spacing w:line="480" w:lineRule="exact"/>
        <w:ind w:firstLine="482" w:firstLineChars="200"/>
        <w:rPr>
          <w:rFonts w:asciiTheme="minorEastAsia" w:hAnsiTheme="minorEastAsia"/>
          <w:b/>
          <w:sz w:val="24"/>
          <w:szCs w:val="24"/>
        </w:rPr>
      </w:pPr>
      <w:r>
        <w:rPr>
          <w:rFonts w:hint="eastAsia" w:asciiTheme="minorEastAsia" w:hAnsiTheme="minorEastAsia"/>
          <w:b/>
          <w:sz w:val="24"/>
          <w:szCs w:val="24"/>
        </w:rPr>
        <w:t xml:space="preserve">四、其他内部控制相关重大事项说明 </w:t>
      </w:r>
    </w:p>
    <w:p w14:paraId="7B3B0817">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报告期内,公司不存在其他可能对投资者理解内部控制自我评价报告、评价内部控制情况或进行投资决策产生重大影响的其他内部控制信息。</w:t>
      </w:r>
    </w:p>
    <w:p w14:paraId="6215B370">
      <w:pPr>
        <w:spacing w:line="480" w:lineRule="exact"/>
        <w:ind w:firstLine="480" w:firstLineChars="200"/>
        <w:jc w:val="right"/>
        <w:rPr>
          <w:rFonts w:asciiTheme="minorEastAsia" w:hAnsiTheme="minorEastAsia"/>
          <w:sz w:val="24"/>
          <w:szCs w:val="24"/>
        </w:rPr>
      </w:pPr>
    </w:p>
    <w:p w14:paraId="0BF289D2">
      <w:pPr>
        <w:spacing w:line="480" w:lineRule="exact"/>
        <w:ind w:firstLine="480" w:firstLineChars="200"/>
        <w:jc w:val="right"/>
        <w:rPr>
          <w:rFonts w:asciiTheme="minorEastAsia" w:hAnsiTheme="minorEastAsia"/>
          <w:sz w:val="24"/>
          <w:szCs w:val="24"/>
        </w:rPr>
      </w:pPr>
      <w:r>
        <w:rPr>
          <w:rFonts w:hint="eastAsia" w:asciiTheme="minorEastAsia" w:hAnsiTheme="minorEastAsia"/>
          <w:sz w:val="24"/>
          <w:szCs w:val="24"/>
        </w:rPr>
        <w:t>华孚时尚股份有限公司</w:t>
      </w:r>
    </w:p>
    <w:p w14:paraId="185FF864">
      <w:pPr>
        <w:spacing w:line="480" w:lineRule="exact"/>
        <w:ind w:firstLine="480" w:firstLineChars="200"/>
        <w:jc w:val="right"/>
      </w:pPr>
      <w:r>
        <w:rPr>
          <w:rFonts w:hint="eastAsia" w:asciiTheme="minorEastAsia" w:hAnsiTheme="minorEastAsia"/>
          <w:sz w:val="24"/>
          <w:szCs w:val="24"/>
        </w:rPr>
        <w:t>二〇二五年四月二十四日</w:t>
      </w:r>
      <w:r>
        <w:rPr>
          <w:rFonts w:hint="eastAsia" w:asciiTheme="minorEastAsia" w:hAnsiTheme="minor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A41C24"/>
    <w:rsid w:val="00034BEC"/>
    <w:rsid w:val="00037FB4"/>
    <w:rsid w:val="00047943"/>
    <w:rsid w:val="0005494A"/>
    <w:rsid w:val="0007749E"/>
    <w:rsid w:val="00080197"/>
    <w:rsid w:val="00081B67"/>
    <w:rsid w:val="000838E2"/>
    <w:rsid w:val="000928CD"/>
    <w:rsid w:val="000B5A7F"/>
    <w:rsid w:val="000B6664"/>
    <w:rsid w:val="000D03B9"/>
    <w:rsid w:val="000E6A3D"/>
    <w:rsid w:val="000F07EF"/>
    <w:rsid w:val="000F2503"/>
    <w:rsid w:val="001112BE"/>
    <w:rsid w:val="001148A6"/>
    <w:rsid w:val="00120E91"/>
    <w:rsid w:val="00132DE8"/>
    <w:rsid w:val="00144842"/>
    <w:rsid w:val="001607FD"/>
    <w:rsid w:val="00162A2A"/>
    <w:rsid w:val="00164E15"/>
    <w:rsid w:val="00174ED3"/>
    <w:rsid w:val="001A03E2"/>
    <w:rsid w:val="001A2D9E"/>
    <w:rsid w:val="001B22C9"/>
    <w:rsid w:val="001B5ADE"/>
    <w:rsid w:val="001B7D6D"/>
    <w:rsid w:val="001C30D1"/>
    <w:rsid w:val="001C7986"/>
    <w:rsid w:val="001D0B9B"/>
    <w:rsid w:val="001D7584"/>
    <w:rsid w:val="001E3BC5"/>
    <w:rsid w:val="001F209D"/>
    <w:rsid w:val="001F7FEA"/>
    <w:rsid w:val="0021556B"/>
    <w:rsid w:val="00215C68"/>
    <w:rsid w:val="00224F2F"/>
    <w:rsid w:val="002303E3"/>
    <w:rsid w:val="002340C0"/>
    <w:rsid w:val="00236A8C"/>
    <w:rsid w:val="00241DF5"/>
    <w:rsid w:val="00244E87"/>
    <w:rsid w:val="002610F5"/>
    <w:rsid w:val="00295EE2"/>
    <w:rsid w:val="002B262A"/>
    <w:rsid w:val="002C1E43"/>
    <w:rsid w:val="002C597D"/>
    <w:rsid w:val="002E3318"/>
    <w:rsid w:val="002F2101"/>
    <w:rsid w:val="002F260F"/>
    <w:rsid w:val="00315A34"/>
    <w:rsid w:val="00323626"/>
    <w:rsid w:val="00326C7E"/>
    <w:rsid w:val="003337A0"/>
    <w:rsid w:val="003414EB"/>
    <w:rsid w:val="00343FDF"/>
    <w:rsid w:val="003440C4"/>
    <w:rsid w:val="0034697F"/>
    <w:rsid w:val="00357B48"/>
    <w:rsid w:val="00387248"/>
    <w:rsid w:val="00390A22"/>
    <w:rsid w:val="00393E97"/>
    <w:rsid w:val="003C5F71"/>
    <w:rsid w:val="003D361C"/>
    <w:rsid w:val="003D3B46"/>
    <w:rsid w:val="003D561B"/>
    <w:rsid w:val="003F516A"/>
    <w:rsid w:val="00423269"/>
    <w:rsid w:val="00424CC5"/>
    <w:rsid w:val="0043631A"/>
    <w:rsid w:val="0044154A"/>
    <w:rsid w:val="0047323C"/>
    <w:rsid w:val="004812B5"/>
    <w:rsid w:val="00485620"/>
    <w:rsid w:val="00485C72"/>
    <w:rsid w:val="00487AD6"/>
    <w:rsid w:val="00494C94"/>
    <w:rsid w:val="004B5F22"/>
    <w:rsid w:val="004E7065"/>
    <w:rsid w:val="004F0366"/>
    <w:rsid w:val="004F6FCB"/>
    <w:rsid w:val="0051617A"/>
    <w:rsid w:val="00516E26"/>
    <w:rsid w:val="00527142"/>
    <w:rsid w:val="00535143"/>
    <w:rsid w:val="00544DFC"/>
    <w:rsid w:val="00546C43"/>
    <w:rsid w:val="00555F53"/>
    <w:rsid w:val="00564C71"/>
    <w:rsid w:val="00570844"/>
    <w:rsid w:val="00575E3E"/>
    <w:rsid w:val="0058733B"/>
    <w:rsid w:val="005A3905"/>
    <w:rsid w:val="005A6FB9"/>
    <w:rsid w:val="005B342A"/>
    <w:rsid w:val="005C7804"/>
    <w:rsid w:val="005F6259"/>
    <w:rsid w:val="00610543"/>
    <w:rsid w:val="00611458"/>
    <w:rsid w:val="00631E86"/>
    <w:rsid w:val="00634B99"/>
    <w:rsid w:val="00642868"/>
    <w:rsid w:val="00643202"/>
    <w:rsid w:val="00646CC8"/>
    <w:rsid w:val="0067197D"/>
    <w:rsid w:val="00693AA9"/>
    <w:rsid w:val="00694266"/>
    <w:rsid w:val="006B51A3"/>
    <w:rsid w:val="006B73D5"/>
    <w:rsid w:val="00723FD6"/>
    <w:rsid w:val="00735CA7"/>
    <w:rsid w:val="00737EF0"/>
    <w:rsid w:val="0075327B"/>
    <w:rsid w:val="00766831"/>
    <w:rsid w:val="00766F25"/>
    <w:rsid w:val="00785F49"/>
    <w:rsid w:val="007864C8"/>
    <w:rsid w:val="00794FAF"/>
    <w:rsid w:val="007A5C01"/>
    <w:rsid w:val="007B5BF2"/>
    <w:rsid w:val="007E4EF7"/>
    <w:rsid w:val="007F2432"/>
    <w:rsid w:val="00800C14"/>
    <w:rsid w:val="00802A6B"/>
    <w:rsid w:val="008249C1"/>
    <w:rsid w:val="00844765"/>
    <w:rsid w:val="00846041"/>
    <w:rsid w:val="008621F0"/>
    <w:rsid w:val="0087213C"/>
    <w:rsid w:val="00880A08"/>
    <w:rsid w:val="00892655"/>
    <w:rsid w:val="008971AA"/>
    <w:rsid w:val="008A33E1"/>
    <w:rsid w:val="008B7D97"/>
    <w:rsid w:val="008B7FF8"/>
    <w:rsid w:val="008C4570"/>
    <w:rsid w:val="008C7248"/>
    <w:rsid w:val="008D0452"/>
    <w:rsid w:val="008D073A"/>
    <w:rsid w:val="008D43AC"/>
    <w:rsid w:val="008F0EAE"/>
    <w:rsid w:val="00913B45"/>
    <w:rsid w:val="00914E34"/>
    <w:rsid w:val="009204FD"/>
    <w:rsid w:val="00924F9F"/>
    <w:rsid w:val="0092512E"/>
    <w:rsid w:val="00926327"/>
    <w:rsid w:val="00926EB2"/>
    <w:rsid w:val="00927D51"/>
    <w:rsid w:val="00954A06"/>
    <w:rsid w:val="00956B36"/>
    <w:rsid w:val="009622EE"/>
    <w:rsid w:val="0098226A"/>
    <w:rsid w:val="00982996"/>
    <w:rsid w:val="0098347C"/>
    <w:rsid w:val="009C5704"/>
    <w:rsid w:val="009C7CC6"/>
    <w:rsid w:val="009D4389"/>
    <w:rsid w:val="009F2522"/>
    <w:rsid w:val="00A14E8A"/>
    <w:rsid w:val="00A15DC1"/>
    <w:rsid w:val="00A41C24"/>
    <w:rsid w:val="00A67679"/>
    <w:rsid w:val="00A8505D"/>
    <w:rsid w:val="00A90C5C"/>
    <w:rsid w:val="00A958CC"/>
    <w:rsid w:val="00AB252B"/>
    <w:rsid w:val="00AC106F"/>
    <w:rsid w:val="00AC2382"/>
    <w:rsid w:val="00AD1AFE"/>
    <w:rsid w:val="00AE1108"/>
    <w:rsid w:val="00AE3C55"/>
    <w:rsid w:val="00AF6663"/>
    <w:rsid w:val="00B002C8"/>
    <w:rsid w:val="00B005A2"/>
    <w:rsid w:val="00B03718"/>
    <w:rsid w:val="00B078A8"/>
    <w:rsid w:val="00B209B9"/>
    <w:rsid w:val="00B44A27"/>
    <w:rsid w:val="00B52A5E"/>
    <w:rsid w:val="00B666E1"/>
    <w:rsid w:val="00B87DBA"/>
    <w:rsid w:val="00B9447A"/>
    <w:rsid w:val="00B9629D"/>
    <w:rsid w:val="00BA1395"/>
    <w:rsid w:val="00BA416C"/>
    <w:rsid w:val="00BA6F7E"/>
    <w:rsid w:val="00BB09E9"/>
    <w:rsid w:val="00BC3429"/>
    <w:rsid w:val="00BC3866"/>
    <w:rsid w:val="00BD1FEB"/>
    <w:rsid w:val="00BD44D8"/>
    <w:rsid w:val="00BE20FB"/>
    <w:rsid w:val="00C03C60"/>
    <w:rsid w:val="00C13838"/>
    <w:rsid w:val="00C34D73"/>
    <w:rsid w:val="00C50554"/>
    <w:rsid w:val="00C52987"/>
    <w:rsid w:val="00C74425"/>
    <w:rsid w:val="00CA19D7"/>
    <w:rsid w:val="00CC6102"/>
    <w:rsid w:val="00CD5E61"/>
    <w:rsid w:val="00CE7C2B"/>
    <w:rsid w:val="00D01D3E"/>
    <w:rsid w:val="00D04D37"/>
    <w:rsid w:val="00D109DE"/>
    <w:rsid w:val="00D743DD"/>
    <w:rsid w:val="00D74FE6"/>
    <w:rsid w:val="00D76617"/>
    <w:rsid w:val="00D8081B"/>
    <w:rsid w:val="00D83B52"/>
    <w:rsid w:val="00D930CA"/>
    <w:rsid w:val="00DA0DE6"/>
    <w:rsid w:val="00DA140B"/>
    <w:rsid w:val="00DA26F3"/>
    <w:rsid w:val="00DC09D0"/>
    <w:rsid w:val="00DC3DA1"/>
    <w:rsid w:val="00DC59C1"/>
    <w:rsid w:val="00DD0B3D"/>
    <w:rsid w:val="00DF1D1E"/>
    <w:rsid w:val="00E01ED1"/>
    <w:rsid w:val="00E20C2E"/>
    <w:rsid w:val="00E22F8C"/>
    <w:rsid w:val="00E271CB"/>
    <w:rsid w:val="00E32A5A"/>
    <w:rsid w:val="00E33E19"/>
    <w:rsid w:val="00E42AD2"/>
    <w:rsid w:val="00E4789F"/>
    <w:rsid w:val="00E7672F"/>
    <w:rsid w:val="00E86359"/>
    <w:rsid w:val="00EA5FEC"/>
    <w:rsid w:val="00EB3B00"/>
    <w:rsid w:val="00EB559E"/>
    <w:rsid w:val="00ED1A51"/>
    <w:rsid w:val="00ED780D"/>
    <w:rsid w:val="00EE040B"/>
    <w:rsid w:val="00EE361C"/>
    <w:rsid w:val="00EE50CA"/>
    <w:rsid w:val="00EE79E0"/>
    <w:rsid w:val="00EF03E2"/>
    <w:rsid w:val="00F06103"/>
    <w:rsid w:val="00F460B7"/>
    <w:rsid w:val="00F50946"/>
    <w:rsid w:val="00F60F0F"/>
    <w:rsid w:val="00F616EA"/>
    <w:rsid w:val="00F66370"/>
    <w:rsid w:val="00F76836"/>
    <w:rsid w:val="00F81A1F"/>
    <w:rsid w:val="00F94792"/>
    <w:rsid w:val="00FA4A2F"/>
    <w:rsid w:val="00FC63EC"/>
    <w:rsid w:val="00FD1CA4"/>
    <w:rsid w:val="00FD7FC0"/>
    <w:rsid w:val="00FE3F07"/>
    <w:rsid w:val="02EE1978"/>
    <w:rsid w:val="1DAB6198"/>
    <w:rsid w:val="2378512C"/>
    <w:rsid w:val="2C773D4F"/>
    <w:rsid w:val="404E74E8"/>
    <w:rsid w:val="42EC7CBA"/>
    <w:rsid w:val="65782EDC"/>
    <w:rsid w:val="7A3B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2885</Words>
  <Characters>2929</Characters>
  <Lines>23</Lines>
  <Paragraphs>6</Paragraphs>
  <TotalTime>1</TotalTime>
  <ScaleCrop>false</ScaleCrop>
  <LinksUpToDate>false</LinksUpToDate>
  <CharactersWithSpaces>2964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2025-04-03T00:31:00Z</dcterms:created>
  <dc:creator>傅芳</dc:creator>
  <cp:lastModifiedBy>WSY</cp:lastModifiedBy>
  <dcterms:modified xsi:type="dcterms:W3CDTF">2025-04-25T02:39:44Z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17988008D41945C4B9C110990434215E_13</vt:lpwstr>
  </property>
  <property fmtid="{D5CDD505-2E9C-101B-9397-08002B2CF9AE}" pid="4" name="KSOTemplateDocerSaveRecord">
    <vt:lpwstr>eyJoZGlkIjoiMGYyMzhhMzNmNzJhMTU4YjMxZTc1YjkyNzFjZGE5ZTciLCJ1c2VySWQiOiIyNjU0NTI1NDMifQ==</vt:lpwstr>
  </property>
</Properties>
</file>