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A74D">
      <w:pPr>
        <w:spacing w:after="156" w:afterLines="50" w:line="460" w:lineRule="exact"/>
        <w:jc w:val="center"/>
        <w:rPr>
          <w:b/>
          <w:sz w:val="30"/>
          <w:szCs w:val="28"/>
        </w:rPr>
      </w:pPr>
      <w:bookmarkStart w:id="0" w:name="_GoBack"/>
      <w:bookmarkEnd w:id="0"/>
      <w:r>
        <w:rPr>
          <w:rFonts w:hint="eastAsia"/>
          <w:b/>
          <w:sz w:val="30"/>
          <w:szCs w:val="28"/>
        </w:rPr>
        <w:t>华孚时尚股份有限</w:t>
      </w:r>
      <w:r>
        <w:rPr>
          <w:b/>
          <w:sz w:val="30"/>
          <w:szCs w:val="28"/>
        </w:rPr>
        <w:t>公司</w:t>
      </w:r>
    </w:p>
    <w:p w14:paraId="7E9551D8">
      <w:pPr>
        <w:spacing w:after="156" w:afterLines="50" w:line="460" w:lineRule="exact"/>
        <w:jc w:val="center"/>
        <w:rPr>
          <w:rFonts w:hint="eastAsia"/>
          <w:b/>
          <w:sz w:val="30"/>
          <w:szCs w:val="28"/>
        </w:rPr>
      </w:pPr>
      <w:r>
        <w:rPr>
          <w:b/>
          <w:sz w:val="30"/>
          <w:szCs w:val="28"/>
        </w:rPr>
        <w:t>董事和高级管理人员所持本公司股份及其变动管理</w:t>
      </w:r>
      <w:r>
        <w:rPr>
          <w:rFonts w:hint="eastAsia"/>
          <w:b/>
          <w:sz w:val="30"/>
          <w:szCs w:val="28"/>
        </w:rPr>
        <w:t>办法</w:t>
      </w:r>
    </w:p>
    <w:p w14:paraId="5FE51D23">
      <w:pPr>
        <w:spacing w:line="460" w:lineRule="exact"/>
        <w:rPr>
          <w:rFonts w:hint="eastAsia"/>
          <w:b/>
          <w:sz w:val="28"/>
          <w:szCs w:val="28"/>
        </w:rPr>
      </w:pPr>
    </w:p>
    <w:p w14:paraId="6C9D6096">
      <w:pPr>
        <w:numPr>
          <w:ilvl w:val="0"/>
          <w:numId w:val="1"/>
        </w:numPr>
        <w:tabs>
          <w:tab w:val="left" w:pos="1620"/>
          <w:tab w:val="clear" w:pos="720"/>
        </w:tabs>
        <w:spacing w:line="360" w:lineRule="auto"/>
        <w:ind w:left="0" w:firstLine="462"/>
        <w:rPr>
          <w:rFonts w:hint="eastAsia" w:ascii="宋体" w:hAnsi="宋体"/>
          <w:kern w:val="0"/>
          <w:sz w:val="24"/>
        </w:rPr>
      </w:pPr>
      <w:r>
        <w:rPr>
          <w:rFonts w:ascii="宋体" w:hAnsi="宋体"/>
          <w:kern w:val="0"/>
          <w:sz w:val="24"/>
        </w:rPr>
        <w:t>为加强对</w:t>
      </w:r>
      <w:r>
        <w:rPr>
          <w:rFonts w:hint="eastAsia" w:ascii="宋体" w:hAnsi="宋体"/>
          <w:kern w:val="0"/>
          <w:sz w:val="24"/>
        </w:rPr>
        <w:t>华孚时尚股份有限公司（以下简称“本</w:t>
      </w:r>
      <w:r>
        <w:rPr>
          <w:rFonts w:ascii="宋体" w:hAnsi="宋体"/>
          <w:kern w:val="0"/>
          <w:sz w:val="24"/>
        </w:rPr>
        <w:t>公司</w:t>
      </w:r>
      <w:r>
        <w:rPr>
          <w:rFonts w:hint="eastAsia" w:ascii="宋体" w:hAnsi="宋体"/>
          <w:kern w:val="0"/>
          <w:sz w:val="24"/>
        </w:rPr>
        <w:t>”）</w:t>
      </w:r>
      <w:r>
        <w:rPr>
          <w:rFonts w:ascii="宋体" w:hAnsi="宋体"/>
          <w:kern w:val="0"/>
          <w:sz w:val="24"/>
        </w:rPr>
        <w:t>董事和高级管理人员所持</w:t>
      </w:r>
      <w:r>
        <w:rPr>
          <w:rFonts w:hint="eastAsia" w:ascii="宋体" w:hAnsi="宋体"/>
          <w:kern w:val="0"/>
          <w:sz w:val="24"/>
        </w:rPr>
        <w:t>本</w:t>
      </w:r>
      <w:r>
        <w:rPr>
          <w:rFonts w:ascii="宋体" w:hAnsi="宋体"/>
          <w:kern w:val="0"/>
          <w:sz w:val="24"/>
        </w:rPr>
        <w:t>公司股份及其变动的管理，维护证券市场秩序，根据《</w:t>
      </w:r>
      <w:r>
        <w:rPr>
          <w:rFonts w:hint="eastAsia" w:ascii="宋体" w:hAnsi="宋体"/>
          <w:kern w:val="0"/>
          <w:sz w:val="24"/>
        </w:rPr>
        <w:t>中华人民共和国</w:t>
      </w:r>
      <w:r>
        <w:rPr>
          <w:rFonts w:ascii="宋体" w:hAnsi="宋体"/>
          <w:kern w:val="0"/>
          <w:sz w:val="24"/>
        </w:rPr>
        <w:t>公司法》《</w:t>
      </w:r>
      <w:r>
        <w:rPr>
          <w:rFonts w:hint="eastAsia" w:ascii="宋体" w:hAnsi="宋体"/>
          <w:kern w:val="0"/>
          <w:sz w:val="24"/>
        </w:rPr>
        <w:t>中华人民共和国</w:t>
      </w:r>
      <w:r>
        <w:rPr>
          <w:rFonts w:ascii="宋体" w:hAnsi="宋体"/>
          <w:kern w:val="0"/>
          <w:sz w:val="24"/>
        </w:rPr>
        <w:t>证券法》</w:t>
      </w:r>
      <w:r>
        <w:rPr>
          <w:rFonts w:hint="eastAsia" w:ascii="宋体" w:hAnsi="宋体"/>
          <w:kern w:val="0"/>
          <w:sz w:val="24"/>
        </w:rPr>
        <w:t>《上市公司董事和高级管理人员所持本公司股份及其变动管理规则》《深圳证券交易所股票上市规则》《深圳证券交易所上市公司自律监管指引第1号——主板上市公司规范运作》《深圳证券交易所上市公司自律监管指引第10号——股份变动管理》</w:t>
      </w:r>
      <w:r>
        <w:rPr>
          <w:rFonts w:ascii="宋体" w:hAnsi="宋体"/>
          <w:kern w:val="0"/>
          <w:sz w:val="24"/>
        </w:rPr>
        <w:t>等法律、行政法规和</w:t>
      </w:r>
      <w:r>
        <w:rPr>
          <w:rFonts w:hint="eastAsia" w:ascii="宋体" w:hAnsi="宋体"/>
          <w:kern w:val="0"/>
          <w:sz w:val="24"/>
        </w:rPr>
        <w:t>规范性文件</w:t>
      </w:r>
      <w:r>
        <w:rPr>
          <w:rFonts w:hint="eastAsia" w:ascii="宋体" w:hAnsi="宋体"/>
        </w:rPr>
        <w:t>和</w:t>
      </w:r>
      <w:r>
        <w:rPr>
          <w:rFonts w:hint="eastAsia" w:ascii="宋体" w:hAnsi="宋体"/>
          <w:kern w:val="0"/>
          <w:sz w:val="24"/>
        </w:rPr>
        <w:t>《华孚时尚股份有限公司章程》（以下简称“《公司章程》”）</w:t>
      </w:r>
      <w:r>
        <w:rPr>
          <w:rFonts w:ascii="宋体" w:hAnsi="宋体"/>
          <w:kern w:val="0"/>
          <w:sz w:val="24"/>
        </w:rPr>
        <w:t>的规定，制定本办法。</w:t>
      </w:r>
    </w:p>
    <w:p w14:paraId="6165CF3B">
      <w:pPr>
        <w:numPr>
          <w:ilvl w:val="0"/>
          <w:numId w:val="1"/>
        </w:numPr>
        <w:tabs>
          <w:tab w:val="left" w:pos="1620"/>
          <w:tab w:val="clear" w:pos="720"/>
        </w:tabs>
        <w:spacing w:line="360" w:lineRule="auto"/>
        <w:ind w:left="0" w:firstLine="462"/>
        <w:rPr>
          <w:rFonts w:ascii="宋体" w:hAnsi="宋体"/>
          <w:kern w:val="0"/>
          <w:sz w:val="24"/>
        </w:rPr>
      </w:pPr>
      <w:r>
        <w:rPr>
          <w:rFonts w:ascii="宋体" w:hAnsi="宋体"/>
          <w:kern w:val="0"/>
          <w:sz w:val="24"/>
        </w:rPr>
        <w:t>公司董事、高级管理人员</w:t>
      </w:r>
      <w:r>
        <w:rPr>
          <w:rFonts w:hint="eastAsia" w:ascii="宋体" w:hAnsi="宋体"/>
          <w:kern w:val="0"/>
          <w:sz w:val="24"/>
        </w:rPr>
        <w:t>等主体</w:t>
      </w:r>
      <w:r>
        <w:rPr>
          <w:rFonts w:ascii="宋体" w:hAnsi="宋体"/>
          <w:kern w:val="0"/>
          <w:sz w:val="24"/>
        </w:rPr>
        <w:t>应当遵守法律法规、</w:t>
      </w:r>
      <w:r>
        <w:rPr>
          <w:rFonts w:hint="eastAsia" w:ascii="宋体" w:hAnsi="宋体"/>
          <w:kern w:val="0"/>
          <w:sz w:val="24"/>
        </w:rPr>
        <w:t>深圳证券交易所</w:t>
      </w:r>
      <w:r>
        <w:rPr>
          <w:rFonts w:ascii="宋体" w:hAnsi="宋体"/>
          <w:kern w:val="0"/>
          <w:sz w:val="24"/>
        </w:rPr>
        <w:t>相关规定</w:t>
      </w:r>
      <w:r>
        <w:rPr>
          <w:rFonts w:hint="eastAsia" w:ascii="宋体" w:hAnsi="宋体"/>
          <w:kern w:val="0"/>
          <w:sz w:val="24"/>
        </w:rPr>
        <w:t>中关于股份变动的限制性</w:t>
      </w:r>
      <w:r>
        <w:rPr>
          <w:rFonts w:ascii="宋体" w:hAnsi="宋体"/>
          <w:kern w:val="0"/>
          <w:sz w:val="24"/>
        </w:rPr>
        <w:t>规定。</w:t>
      </w:r>
    </w:p>
    <w:p w14:paraId="78641E23">
      <w:pPr>
        <w:spacing w:line="360" w:lineRule="auto"/>
        <w:ind w:firstLine="450"/>
        <w:rPr>
          <w:rFonts w:hint="eastAsia" w:ascii="宋体" w:hAnsi="宋体"/>
          <w:sz w:val="24"/>
          <w:szCs w:val="22"/>
        </w:rPr>
      </w:pPr>
      <w:r>
        <w:rPr>
          <w:rFonts w:hint="eastAsia" w:ascii="宋体" w:hAnsi="宋体"/>
          <w:sz w:val="24"/>
          <w:szCs w:val="22"/>
        </w:rPr>
        <w:t>公司董事、高级管理人员等主体对持有股份比例、持有期限、变动方式、变动价格等作出承诺的，应当严格履行所作出的承诺。</w:t>
      </w:r>
    </w:p>
    <w:p w14:paraId="0F820BFB">
      <w:pPr>
        <w:numPr>
          <w:ilvl w:val="0"/>
          <w:numId w:val="1"/>
        </w:numPr>
        <w:tabs>
          <w:tab w:val="left" w:pos="1620"/>
          <w:tab w:val="clear" w:pos="720"/>
        </w:tabs>
        <w:spacing w:line="360" w:lineRule="auto"/>
        <w:ind w:left="0" w:firstLine="462"/>
        <w:rPr>
          <w:rFonts w:ascii="宋体" w:hAnsi="宋体"/>
          <w:kern w:val="0"/>
          <w:sz w:val="24"/>
        </w:rPr>
      </w:pPr>
      <w:r>
        <w:rPr>
          <w:rFonts w:ascii="宋体" w:hAnsi="宋体"/>
          <w:kern w:val="0"/>
          <w:sz w:val="24"/>
        </w:rPr>
        <w:t>公司董事、高级管理人员所持</w:t>
      </w:r>
      <w:r>
        <w:rPr>
          <w:rFonts w:hint="eastAsia" w:ascii="宋体" w:hAnsi="宋体"/>
          <w:kern w:val="0"/>
          <w:sz w:val="24"/>
        </w:rPr>
        <w:t>本</w:t>
      </w:r>
      <w:r>
        <w:rPr>
          <w:rFonts w:ascii="宋体" w:hAnsi="宋体"/>
          <w:kern w:val="0"/>
          <w:sz w:val="24"/>
        </w:rPr>
        <w:t>公司股份，是指登记在其名下</w:t>
      </w:r>
      <w:r>
        <w:rPr>
          <w:rFonts w:hint="eastAsia" w:ascii="宋体" w:hAnsi="宋体"/>
          <w:kern w:val="0"/>
          <w:sz w:val="24"/>
        </w:rPr>
        <w:t>和利用他人账户持有</w:t>
      </w:r>
      <w:r>
        <w:rPr>
          <w:rFonts w:ascii="宋体" w:hAnsi="宋体"/>
          <w:kern w:val="0"/>
          <w:sz w:val="24"/>
        </w:rPr>
        <w:t>的所有</w:t>
      </w:r>
      <w:r>
        <w:rPr>
          <w:rFonts w:hint="eastAsia" w:ascii="宋体" w:hAnsi="宋体"/>
          <w:kern w:val="0"/>
          <w:sz w:val="24"/>
        </w:rPr>
        <w:t>本</w:t>
      </w:r>
      <w:r>
        <w:rPr>
          <w:rFonts w:ascii="宋体" w:hAnsi="宋体"/>
          <w:kern w:val="0"/>
          <w:sz w:val="24"/>
        </w:rPr>
        <w:t>公司股份。</w:t>
      </w:r>
    </w:p>
    <w:p w14:paraId="075DF219">
      <w:pPr>
        <w:spacing w:line="360" w:lineRule="auto"/>
        <w:ind w:firstLine="450"/>
        <w:rPr>
          <w:rFonts w:ascii="宋体" w:hAnsi="宋体"/>
          <w:sz w:val="24"/>
          <w:szCs w:val="22"/>
        </w:rPr>
      </w:pPr>
      <w:r>
        <w:rPr>
          <w:rFonts w:hint="eastAsia" w:ascii="宋体" w:hAnsi="宋体"/>
          <w:sz w:val="24"/>
          <w:szCs w:val="22"/>
        </w:rPr>
        <w:t>公司的董事、高级管理人员不得从事以本公司股票为标的证券的融资融券交易。</w:t>
      </w:r>
    </w:p>
    <w:p w14:paraId="4C77A495">
      <w:pPr>
        <w:numPr>
          <w:ilvl w:val="0"/>
          <w:numId w:val="1"/>
        </w:numPr>
        <w:tabs>
          <w:tab w:val="left" w:pos="1620"/>
          <w:tab w:val="clear" w:pos="720"/>
        </w:tabs>
        <w:spacing w:line="360" w:lineRule="auto"/>
        <w:ind w:left="0" w:firstLine="462"/>
        <w:rPr>
          <w:rFonts w:ascii="宋体" w:hAnsi="宋体"/>
          <w:kern w:val="0"/>
          <w:sz w:val="24"/>
        </w:rPr>
      </w:pPr>
      <w:r>
        <w:rPr>
          <w:rFonts w:ascii="宋体" w:hAnsi="宋体"/>
          <w:sz w:val="24"/>
          <w:szCs w:val="22"/>
        </w:rPr>
        <w:t>因公司发行股份、实施股权激励计划等情形，对董事、高级管理人员转让其所持公司股份作出附加转让价格、业绩考核条件</w:t>
      </w:r>
      <w:r>
        <w:rPr>
          <w:rFonts w:hint="eastAsia" w:ascii="宋体" w:hAnsi="宋体"/>
          <w:sz w:val="24"/>
          <w:szCs w:val="22"/>
        </w:rPr>
        <w:t>或者</w:t>
      </w:r>
      <w:r>
        <w:rPr>
          <w:rFonts w:ascii="宋体" w:hAnsi="宋体"/>
          <w:sz w:val="24"/>
          <w:szCs w:val="22"/>
        </w:rPr>
        <w:t>设定限售期等限制性条件的，公司应当在办理股份变更登记等手续时，向</w:t>
      </w:r>
      <w:r>
        <w:rPr>
          <w:rFonts w:hint="eastAsia" w:ascii="宋体" w:hAnsi="宋体"/>
          <w:sz w:val="24"/>
          <w:szCs w:val="22"/>
        </w:rPr>
        <w:t>深圳证券交易所</w:t>
      </w:r>
      <w:r>
        <w:rPr>
          <w:rFonts w:ascii="宋体" w:hAnsi="宋体"/>
          <w:sz w:val="24"/>
          <w:szCs w:val="22"/>
        </w:rPr>
        <w:t>申请并由中国证券登记结算有限</w:t>
      </w:r>
      <w:r>
        <w:rPr>
          <w:rFonts w:hint="eastAsia" w:ascii="宋体" w:hAnsi="宋体"/>
          <w:sz w:val="24"/>
          <w:szCs w:val="22"/>
        </w:rPr>
        <w:t>责任</w:t>
      </w:r>
      <w:r>
        <w:rPr>
          <w:rFonts w:ascii="宋体" w:hAnsi="宋体"/>
          <w:sz w:val="24"/>
          <w:szCs w:val="22"/>
        </w:rPr>
        <w:t>公司深圳分公司将相关人员所持股份登记为有限售条件的股份。</w:t>
      </w:r>
    </w:p>
    <w:p w14:paraId="1AEF33CB">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kern w:val="0"/>
          <w:sz w:val="24"/>
        </w:rPr>
        <w:t>存在下列情形之一的，</w:t>
      </w:r>
      <w:r>
        <w:rPr>
          <w:rFonts w:ascii="宋体" w:hAnsi="宋体"/>
          <w:kern w:val="0"/>
          <w:sz w:val="24"/>
        </w:rPr>
        <w:t>公司董事、高级管理人员所持公司股份不得转让：</w:t>
      </w:r>
    </w:p>
    <w:p w14:paraId="111FB144">
      <w:pPr>
        <w:spacing w:line="360" w:lineRule="auto"/>
        <w:ind w:firstLine="450"/>
        <w:rPr>
          <w:rFonts w:ascii="宋体" w:hAnsi="宋体"/>
          <w:sz w:val="24"/>
          <w:szCs w:val="22"/>
        </w:rPr>
      </w:pPr>
      <w:r>
        <w:rPr>
          <w:rFonts w:ascii="宋体" w:hAnsi="宋体"/>
          <w:sz w:val="24"/>
          <w:szCs w:val="22"/>
        </w:rPr>
        <w:t>（一） 本公司股票上市交易之日起1年内；</w:t>
      </w:r>
    </w:p>
    <w:p w14:paraId="67172F5D">
      <w:pPr>
        <w:spacing w:line="360" w:lineRule="auto"/>
        <w:ind w:firstLine="450"/>
        <w:rPr>
          <w:rFonts w:ascii="宋体" w:hAnsi="宋体"/>
          <w:sz w:val="24"/>
          <w:szCs w:val="22"/>
        </w:rPr>
      </w:pPr>
      <w:r>
        <w:rPr>
          <w:rFonts w:ascii="宋体" w:hAnsi="宋体"/>
          <w:sz w:val="24"/>
          <w:szCs w:val="22"/>
        </w:rPr>
        <w:t xml:space="preserve">（二） </w:t>
      </w:r>
      <w:r>
        <w:rPr>
          <w:rFonts w:hint="eastAsia" w:ascii="宋体" w:hAnsi="宋体"/>
          <w:sz w:val="24"/>
          <w:szCs w:val="22"/>
        </w:rPr>
        <w:t>本人</w:t>
      </w:r>
      <w:r>
        <w:rPr>
          <w:rFonts w:ascii="宋体" w:hAnsi="宋体"/>
          <w:sz w:val="24"/>
          <w:szCs w:val="22"/>
        </w:rPr>
        <w:t>离职后半年内；</w:t>
      </w:r>
    </w:p>
    <w:p w14:paraId="6D151D67">
      <w:pPr>
        <w:spacing w:line="360" w:lineRule="auto"/>
        <w:ind w:firstLine="450"/>
        <w:rPr>
          <w:rFonts w:ascii="宋体" w:hAnsi="宋体"/>
          <w:sz w:val="24"/>
          <w:szCs w:val="22"/>
        </w:rPr>
      </w:pPr>
      <w:r>
        <w:rPr>
          <w:rFonts w:ascii="宋体" w:hAnsi="宋体"/>
          <w:sz w:val="24"/>
          <w:szCs w:val="22"/>
        </w:rPr>
        <w:t>（三）</w:t>
      </w:r>
      <w:r>
        <w:rPr>
          <w:rFonts w:hint="eastAsia" w:ascii="宋体" w:hAnsi="宋体"/>
          <w:sz w:val="24"/>
          <w:szCs w:val="22"/>
        </w:rPr>
        <w:t>公司因涉嫌证券期货违法犯罪，被中国证监会立案调查或者被司法机关立案侦查，或者被行政处罚、判处刑罚未满六个月的；</w:t>
      </w:r>
    </w:p>
    <w:p w14:paraId="074CC807">
      <w:pPr>
        <w:spacing w:line="360" w:lineRule="auto"/>
        <w:ind w:firstLine="450"/>
        <w:rPr>
          <w:rFonts w:ascii="宋体" w:hAnsi="宋体"/>
          <w:sz w:val="24"/>
          <w:szCs w:val="22"/>
        </w:rPr>
      </w:pPr>
      <w:r>
        <w:rPr>
          <w:rFonts w:hint="eastAsia" w:ascii="宋体" w:hAnsi="宋体"/>
          <w:sz w:val="24"/>
          <w:szCs w:val="22"/>
        </w:rPr>
        <w:t>（四）本人因涉嫌与公司有关的证券期货违法犯罪，被中国证监会立案调查或者被司法机关立案侦查，或者被行政处罚、判处刑罚未满六个月的；</w:t>
      </w:r>
    </w:p>
    <w:p w14:paraId="41C4F47F">
      <w:pPr>
        <w:spacing w:line="360" w:lineRule="auto"/>
        <w:ind w:firstLine="450"/>
        <w:rPr>
          <w:rFonts w:ascii="宋体" w:hAnsi="宋体"/>
          <w:sz w:val="24"/>
          <w:szCs w:val="22"/>
        </w:rPr>
      </w:pPr>
      <w:r>
        <w:rPr>
          <w:rFonts w:hint="eastAsia" w:ascii="宋体" w:hAnsi="宋体"/>
          <w:sz w:val="24"/>
          <w:szCs w:val="22"/>
        </w:rPr>
        <w:t>（五）本人因涉及证券期货违法，被中国证监会行政处罚，尚未足额缴纳罚没款的，但法律、行政法规另有规定或者减持资金用于缴纳罚没款的除外；</w:t>
      </w:r>
    </w:p>
    <w:p w14:paraId="230A2AA8">
      <w:pPr>
        <w:spacing w:line="360" w:lineRule="auto"/>
        <w:ind w:firstLine="450"/>
        <w:rPr>
          <w:rFonts w:ascii="宋体" w:hAnsi="宋体"/>
          <w:sz w:val="24"/>
          <w:szCs w:val="22"/>
        </w:rPr>
      </w:pPr>
      <w:r>
        <w:rPr>
          <w:rFonts w:hint="eastAsia" w:ascii="宋体" w:hAnsi="宋体"/>
          <w:sz w:val="24"/>
          <w:szCs w:val="22"/>
        </w:rPr>
        <w:t>（六）本人因涉及与公司有关的违法违规，被证券交易所公开谴责未满三个月的；</w:t>
      </w:r>
    </w:p>
    <w:p w14:paraId="0FCA097B">
      <w:pPr>
        <w:spacing w:line="360" w:lineRule="auto"/>
        <w:ind w:firstLine="450"/>
        <w:rPr>
          <w:rFonts w:hint="eastAsia" w:ascii="宋体" w:hAnsi="宋体"/>
          <w:sz w:val="24"/>
          <w:szCs w:val="22"/>
        </w:rPr>
      </w:pPr>
      <w:r>
        <w:rPr>
          <w:rFonts w:hint="eastAsia" w:ascii="宋体" w:hAnsi="宋体"/>
          <w:sz w:val="24"/>
          <w:szCs w:val="22"/>
        </w:rPr>
        <w:t>（七）公司可能触及重大违法强制退市情形，在证券交易所规定的限制转让期限内的；</w:t>
      </w:r>
    </w:p>
    <w:p w14:paraId="7DCB9F1F">
      <w:pPr>
        <w:spacing w:line="360" w:lineRule="auto"/>
        <w:ind w:firstLine="450"/>
        <w:rPr>
          <w:rFonts w:ascii="宋体" w:hAnsi="宋体"/>
          <w:sz w:val="24"/>
          <w:szCs w:val="22"/>
        </w:rPr>
      </w:pPr>
      <w:r>
        <w:rPr>
          <w:rFonts w:ascii="宋体" w:hAnsi="宋体"/>
          <w:sz w:val="24"/>
          <w:szCs w:val="22"/>
        </w:rPr>
        <w:t>（</w:t>
      </w:r>
      <w:r>
        <w:rPr>
          <w:rFonts w:hint="eastAsia" w:ascii="宋体" w:hAnsi="宋体"/>
          <w:sz w:val="24"/>
          <w:szCs w:val="22"/>
        </w:rPr>
        <w:t>八</w:t>
      </w:r>
      <w:r>
        <w:rPr>
          <w:rFonts w:ascii="宋体" w:hAnsi="宋体"/>
          <w:sz w:val="24"/>
          <w:szCs w:val="22"/>
        </w:rPr>
        <w:t>） 法律、</w:t>
      </w:r>
      <w:r>
        <w:rPr>
          <w:rFonts w:hint="eastAsia" w:ascii="宋体" w:hAnsi="宋体"/>
          <w:sz w:val="24"/>
          <w:szCs w:val="22"/>
        </w:rPr>
        <w:t>行政</w:t>
      </w:r>
      <w:r>
        <w:rPr>
          <w:rFonts w:ascii="宋体" w:hAnsi="宋体"/>
          <w:sz w:val="24"/>
          <w:szCs w:val="22"/>
        </w:rPr>
        <w:t>法规、</w:t>
      </w:r>
      <w:r>
        <w:rPr>
          <w:rFonts w:hint="eastAsia" w:ascii="宋体" w:hAnsi="宋体"/>
          <w:sz w:val="24"/>
          <w:szCs w:val="22"/>
        </w:rPr>
        <w:t>中国证券监督管理委员会</w:t>
      </w:r>
      <w:r>
        <w:rPr>
          <w:rFonts w:ascii="宋体" w:hAnsi="宋体"/>
          <w:sz w:val="24"/>
          <w:szCs w:val="22"/>
        </w:rPr>
        <w:t>和</w:t>
      </w:r>
      <w:r>
        <w:rPr>
          <w:rFonts w:hint="eastAsia" w:ascii="宋体" w:hAnsi="宋体"/>
          <w:sz w:val="24"/>
          <w:szCs w:val="22"/>
        </w:rPr>
        <w:t>深圳</w:t>
      </w:r>
      <w:r>
        <w:rPr>
          <w:rFonts w:ascii="宋体" w:hAnsi="宋体"/>
          <w:sz w:val="24"/>
          <w:szCs w:val="22"/>
        </w:rPr>
        <w:t>证券交易所</w:t>
      </w:r>
      <w:r>
        <w:rPr>
          <w:rFonts w:hint="eastAsia" w:ascii="宋体" w:hAnsi="宋体"/>
          <w:sz w:val="24"/>
          <w:szCs w:val="22"/>
        </w:rPr>
        <w:t>规则以及《公司章程》</w:t>
      </w:r>
      <w:r>
        <w:rPr>
          <w:rFonts w:ascii="宋体" w:hAnsi="宋体"/>
          <w:sz w:val="24"/>
          <w:szCs w:val="22"/>
        </w:rPr>
        <w:t>规定的其他情形。</w:t>
      </w:r>
    </w:p>
    <w:p w14:paraId="4B1EF243">
      <w:pPr>
        <w:numPr>
          <w:ilvl w:val="0"/>
          <w:numId w:val="1"/>
        </w:numPr>
        <w:tabs>
          <w:tab w:val="left" w:pos="1620"/>
          <w:tab w:val="clear" w:pos="720"/>
        </w:tabs>
        <w:spacing w:line="360" w:lineRule="auto"/>
        <w:ind w:left="0" w:firstLine="462"/>
        <w:rPr>
          <w:rFonts w:ascii="宋体" w:hAnsi="宋体"/>
          <w:kern w:val="0"/>
          <w:sz w:val="24"/>
        </w:rPr>
      </w:pPr>
      <w:r>
        <w:rPr>
          <w:rFonts w:ascii="宋体" w:hAnsi="宋体"/>
          <w:kern w:val="0"/>
          <w:sz w:val="24"/>
        </w:rPr>
        <w:t>公司董事、高级管理人员在</w:t>
      </w:r>
      <w:r>
        <w:rPr>
          <w:rFonts w:hint="eastAsia" w:ascii="宋体" w:hAnsi="宋体"/>
          <w:kern w:val="0"/>
          <w:sz w:val="24"/>
        </w:rPr>
        <w:t>就任时确定的</w:t>
      </w:r>
      <w:r>
        <w:rPr>
          <w:rFonts w:ascii="宋体" w:hAnsi="宋体"/>
          <w:kern w:val="0"/>
          <w:sz w:val="24"/>
        </w:rPr>
        <w:t>任职期间</w:t>
      </w:r>
      <w:r>
        <w:rPr>
          <w:rFonts w:hint="eastAsia" w:ascii="宋体" w:hAnsi="宋体"/>
          <w:kern w:val="0"/>
          <w:sz w:val="24"/>
        </w:rPr>
        <w:t>，</w:t>
      </w:r>
      <w:r>
        <w:rPr>
          <w:rFonts w:ascii="宋体" w:hAnsi="宋体"/>
          <w:kern w:val="0"/>
          <w:sz w:val="24"/>
        </w:rPr>
        <w:t>每年通过集中竞价、大宗交易、协议转让等方式转让的股份</w:t>
      </w:r>
      <w:r>
        <w:rPr>
          <w:rFonts w:hint="eastAsia" w:ascii="宋体" w:hAnsi="宋体"/>
          <w:kern w:val="0"/>
          <w:sz w:val="24"/>
        </w:rPr>
        <w:t>，</w:t>
      </w:r>
      <w:r>
        <w:rPr>
          <w:rFonts w:ascii="宋体" w:hAnsi="宋体"/>
          <w:kern w:val="0"/>
          <w:sz w:val="24"/>
        </w:rPr>
        <w:t>不得超过其所持本公司股份总数的25%，因司法强制执行、继承、遗赠、依法分割财产等导致股份变动的除外。</w:t>
      </w:r>
    </w:p>
    <w:p w14:paraId="3C6A9173">
      <w:pPr>
        <w:spacing w:line="360" w:lineRule="auto"/>
        <w:ind w:firstLine="450"/>
        <w:rPr>
          <w:rFonts w:ascii="宋体" w:hAnsi="宋体"/>
          <w:sz w:val="24"/>
          <w:szCs w:val="22"/>
        </w:rPr>
      </w:pPr>
      <w:r>
        <w:rPr>
          <w:rFonts w:ascii="宋体" w:hAnsi="宋体"/>
          <w:sz w:val="24"/>
          <w:szCs w:val="22"/>
        </w:rPr>
        <w:t>公司董事、高级管理人员所持股份不超过1000股的，可一次全部转让，不受前款转让比例的限制。</w:t>
      </w:r>
    </w:p>
    <w:p w14:paraId="510BC0FA">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kern w:val="0"/>
          <w:sz w:val="24"/>
        </w:rPr>
        <w:t>公司上市未满一年，公司董事、高级管理人员证券账户内新增的公司股份，按100%自动锁定。</w:t>
      </w:r>
    </w:p>
    <w:p w14:paraId="1B1EC83D">
      <w:pPr>
        <w:spacing w:line="360" w:lineRule="auto"/>
        <w:ind w:firstLine="450"/>
        <w:rPr>
          <w:rFonts w:ascii="宋体" w:hAnsi="宋体"/>
          <w:sz w:val="24"/>
          <w:szCs w:val="22"/>
        </w:rPr>
      </w:pPr>
      <w:r>
        <w:rPr>
          <w:rFonts w:hint="eastAsia" w:ascii="宋体" w:hAnsi="宋体"/>
          <w:sz w:val="24"/>
          <w:szCs w:val="22"/>
        </w:rPr>
        <w:t>公司上市满一年后，公司董事、高级管理人员证券账户内通过二级市场购买、可转换公司债券转股、行权、协议受让等方式，在年内新增的公司无限售条件股份，按75%自动锁定；新增的有限售条件股份，计入次年可转让股份的计算基数。</w:t>
      </w:r>
    </w:p>
    <w:p w14:paraId="04F30ABC">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kern w:val="0"/>
          <w:sz w:val="24"/>
        </w:rPr>
        <w:t>公司董事、高级管理人员所持股份登记为有限售条件股份的，解除限售的条件满足后，董事、高级管理人员可以委托公司向深圳证券交易所和中国证券登记结算有限责任公司深圳分公司申请解除限售。</w:t>
      </w:r>
    </w:p>
    <w:p w14:paraId="43668BFF">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kern w:val="0"/>
          <w:sz w:val="24"/>
        </w:rPr>
        <w:t>在锁定期间，董事、高级管理人员所持公司股份依法享有的收益权、表决权、优先配售权等相关权益不受影响。</w:t>
      </w:r>
    </w:p>
    <w:p w14:paraId="02EE8521">
      <w:pPr>
        <w:numPr>
          <w:ilvl w:val="0"/>
          <w:numId w:val="1"/>
        </w:numPr>
        <w:tabs>
          <w:tab w:val="left" w:pos="1620"/>
          <w:tab w:val="clear" w:pos="720"/>
        </w:tabs>
        <w:spacing w:line="360" w:lineRule="auto"/>
        <w:ind w:left="0" w:firstLine="462"/>
        <w:rPr>
          <w:rFonts w:hint="eastAsia" w:ascii="宋体" w:hAnsi="宋体"/>
          <w:kern w:val="0"/>
          <w:sz w:val="24"/>
        </w:rPr>
      </w:pPr>
      <w:r>
        <w:rPr>
          <w:rFonts w:hint="eastAsia" w:ascii="宋体" w:hAnsi="宋体"/>
          <w:kern w:val="0"/>
          <w:sz w:val="24"/>
        </w:rPr>
        <w:t>公司董事、高级管理人员自实际离任之日起六个月内，不得转让其持有及新增的公司股份。</w:t>
      </w:r>
    </w:p>
    <w:p w14:paraId="7604FEB8">
      <w:pPr>
        <w:numPr>
          <w:ilvl w:val="0"/>
          <w:numId w:val="1"/>
        </w:numPr>
        <w:tabs>
          <w:tab w:val="left" w:pos="1620"/>
          <w:tab w:val="clear" w:pos="720"/>
        </w:tabs>
        <w:spacing w:line="360" w:lineRule="auto"/>
        <w:ind w:left="0" w:firstLine="462"/>
        <w:rPr>
          <w:rFonts w:ascii="宋体" w:hAnsi="宋体"/>
          <w:kern w:val="0"/>
          <w:sz w:val="24"/>
        </w:rPr>
      </w:pPr>
      <w:r>
        <w:rPr>
          <w:rFonts w:ascii="宋体" w:hAnsi="宋体"/>
          <w:kern w:val="0"/>
          <w:sz w:val="24"/>
        </w:rPr>
        <w:t>公司董事、高级管理人员当年可转让但未转让的公司股份，应当计入当年末其所持有公司股份的总数，该总数作为次年可转让股份的计算基数。</w:t>
      </w:r>
    </w:p>
    <w:p w14:paraId="170494F4">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kern w:val="0"/>
          <w:sz w:val="24"/>
        </w:rPr>
        <w:t>公司可根据《公司章程》的规定，</w:t>
      </w:r>
      <w:r>
        <w:rPr>
          <w:rFonts w:ascii="宋体" w:hAnsi="宋体"/>
          <w:kern w:val="0"/>
          <w:sz w:val="24"/>
        </w:rPr>
        <w:t>对董事、高级管理人员</w:t>
      </w:r>
      <w:r>
        <w:rPr>
          <w:rFonts w:hint="eastAsia" w:ascii="宋体" w:hAnsi="宋体"/>
          <w:kern w:val="0"/>
          <w:sz w:val="24"/>
        </w:rPr>
        <w:t>所持公司股份规定更长的禁止转让期间、更低的可转让股份比例或者附加其他限制转让条件，并应当及时披露并做好后续管理。</w:t>
      </w:r>
    </w:p>
    <w:p w14:paraId="6C285BCD">
      <w:pPr>
        <w:numPr>
          <w:ilvl w:val="0"/>
          <w:numId w:val="1"/>
        </w:numPr>
        <w:tabs>
          <w:tab w:val="left" w:pos="1620"/>
          <w:tab w:val="clear" w:pos="720"/>
        </w:tabs>
        <w:spacing w:line="360" w:lineRule="auto"/>
        <w:ind w:left="0" w:firstLine="462"/>
        <w:rPr>
          <w:rFonts w:hint="eastAsia" w:ascii="宋体" w:hAnsi="宋体"/>
          <w:kern w:val="0"/>
          <w:sz w:val="24"/>
        </w:rPr>
      </w:pPr>
      <w:r>
        <w:rPr>
          <w:rFonts w:hint="eastAsia" w:ascii="宋体" w:hAnsi="宋体"/>
          <w:kern w:val="0"/>
          <w:sz w:val="24"/>
        </w:rPr>
        <w:t>公司董事、高级管理人员计划通过深圳证券交易所集中竞价交易或者大宗交易方式转让股份的，应当在首次卖出前十五个交易日向深圳证券交易所报告并披露减持计划。</w:t>
      </w:r>
    </w:p>
    <w:p w14:paraId="37A85508">
      <w:pPr>
        <w:spacing w:line="360" w:lineRule="auto"/>
        <w:ind w:firstLine="450"/>
        <w:rPr>
          <w:rFonts w:hint="eastAsia" w:ascii="宋体" w:hAnsi="宋体"/>
          <w:sz w:val="24"/>
          <w:szCs w:val="22"/>
        </w:rPr>
      </w:pPr>
      <w:r>
        <w:rPr>
          <w:rFonts w:hint="eastAsia" w:ascii="宋体" w:hAnsi="宋体"/>
          <w:sz w:val="24"/>
          <w:szCs w:val="22"/>
        </w:rPr>
        <w:t>减持计划应当包括下列内容：</w:t>
      </w:r>
    </w:p>
    <w:p w14:paraId="2C19FE88">
      <w:pPr>
        <w:spacing w:line="360" w:lineRule="auto"/>
        <w:ind w:firstLine="450"/>
        <w:rPr>
          <w:rFonts w:hint="eastAsia" w:ascii="宋体" w:hAnsi="宋体"/>
          <w:sz w:val="24"/>
          <w:szCs w:val="22"/>
        </w:rPr>
      </w:pPr>
      <w:r>
        <w:rPr>
          <w:rFonts w:hint="eastAsia" w:ascii="宋体" w:hAnsi="宋体"/>
          <w:sz w:val="24"/>
          <w:szCs w:val="22"/>
        </w:rPr>
        <w:t>（一）拟减持股份的数量、来源；</w:t>
      </w:r>
    </w:p>
    <w:p w14:paraId="47BFB303">
      <w:pPr>
        <w:spacing w:line="360" w:lineRule="auto"/>
        <w:ind w:firstLine="450"/>
        <w:rPr>
          <w:rFonts w:hint="eastAsia" w:ascii="宋体" w:hAnsi="宋体"/>
          <w:sz w:val="24"/>
          <w:szCs w:val="22"/>
        </w:rPr>
      </w:pPr>
      <w:r>
        <w:rPr>
          <w:rFonts w:hint="eastAsia" w:ascii="宋体" w:hAnsi="宋体"/>
          <w:sz w:val="24"/>
          <w:szCs w:val="22"/>
        </w:rPr>
        <w:t>（二）减持时间区间、价格区间、方式和原因。减持时间区间应当符合深圳证券交易所的规定；</w:t>
      </w:r>
    </w:p>
    <w:p w14:paraId="7B66BA44">
      <w:pPr>
        <w:spacing w:line="360" w:lineRule="auto"/>
        <w:ind w:firstLine="450"/>
        <w:rPr>
          <w:rFonts w:hint="eastAsia" w:ascii="宋体" w:hAnsi="宋体"/>
          <w:sz w:val="24"/>
          <w:szCs w:val="22"/>
        </w:rPr>
      </w:pPr>
      <w:r>
        <w:rPr>
          <w:rFonts w:hint="eastAsia" w:ascii="宋体" w:hAnsi="宋体"/>
          <w:sz w:val="24"/>
          <w:szCs w:val="22"/>
        </w:rPr>
        <w:t>（三）不存在本规则第五条规定情形的说明。</w:t>
      </w:r>
    </w:p>
    <w:p w14:paraId="4A67B9B1">
      <w:pPr>
        <w:spacing w:line="360" w:lineRule="auto"/>
        <w:ind w:firstLine="450"/>
        <w:rPr>
          <w:rFonts w:hint="eastAsia" w:ascii="宋体" w:hAnsi="宋体"/>
          <w:sz w:val="24"/>
          <w:szCs w:val="22"/>
        </w:rPr>
      </w:pPr>
      <w:r>
        <w:rPr>
          <w:rFonts w:hint="eastAsia" w:ascii="宋体" w:hAnsi="宋体"/>
          <w:sz w:val="24"/>
          <w:szCs w:val="22"/>
        </w:rPr>
        <w:t>（四）深圳证券交易所规定的其他内容。</w:t>
      </w:r>
    </w:p>
    <w:p w14:paraId="03CFEC22">
      <w:pPr>
        <w:spacing w:line="360" w:lineRule="auto"/>
        <w:ind w:firstLine="450"/>
        <w:rPr>
          <w:rFonts w:hint="eastAsia" w:ascii="宋体" w:hAnsi="宋体"/>
          <w:sz w:val="24"/>
          <w:szCs w:val="22"/>
        </w:rPr>
      </w:pPr>
      <w:r>
        <w:rPr>
          <w:rFonts w:hint="eastAsia" w:ascii="宋体" w:hAnsi="宋体"/>
          <w:sz w:val="24"/>
          <w:szCs w:val="22"/>
        </w:rPr>
        <w:t>减持计划实施完毕后，董事、高级管理人员应当在二个交易日内向深圳证券交易所报告，并予公告；在预先披露的减持时间区间内，未实施减持或者减持计划未实施完毕的，应当在减持时间区间届满后的二个交易日内向深圳证券交易所报告，并予公告。</w:t>
      </w:r>
    </w:p>
    <w:p w14:paraId="7F4482F6">
      <w:pPr>
        <w:spacing w:line="360" w:lineRule="auto"/>
        <w:ind w:firstLine="450"/>
        <w:rPr>
          <w:rFonts w:ascii="宋体" w:hAnsi="宋体"/>
          <w:sz w:val="24"/>
          <w:szCs w:val="22"/>
        </w:rPr>
      </w:pPr>
      <w:r>
        <w:rPr>
          <w:rFonts w:hint="eastAsia" w:ascii="宋体" w:hAnsi="宋体"/>
          <w:sz w:val="24"/>
          <w:szCs w:val="22"/>
        </w:rPr>
        <w:t>公司董事、高级管理人员所持公司股份被人民法院通过深圳证券交易所集中竞价交易或者大宗交易方式强制执行的，董事、高级管理人员应当在收到相关执行通知后二个交易日内披露。披露内容应当包括拟处置股份数量、来源、方式、时间区间等。</w:t>
      </w:r>
    </w:p>
    <w:p w14:paraId="6B59F50A">
      <w:pPr>
        <w:numPr>
          <w:ilvl w:val="0"/>
          <w:numId w:val="1"/>
        </w:numPr>
        <w:tabs>
          <w:tab w:val="left" w:pos="1620"/>
          <w:tab w:val="clear" w:pos="720"/>
        </w:tabs>
        <w:spacing w:line="360" w:lineRule="auto"/>
        <w:ind w:left="0" w:firstLine="462"/>
        <w:rPr>
          <w:rFonts w:hint="eastAsia" w:ascii="宋体" w:hAnsi="宋体"/>
          <w:kern w:val="0"/>
          <w:sz w:val="24"/>
        </w:rPr>
      </w:pPr>
      <w:r>
        <w:rPr>
          <w:rFonts w:hint="eastAsia" w:ascii="宋体" w:hAnsi="宋体"/>
          <w:kern w:val="0"/>
          <w:sz w:val="24"/>
        </w:rPr>
        <w:t>公司董事、高级管理人员因离婚导致其所持公司股份减少的，股份的过出方和过入方应当持续共同遵守</w:t>
      </w:r>
      <w:r>
        <w:rPr>
          <w:rFonts w:hint="eastAsia" w:ascii="宋体" w:hAnsi="宋体"/>
          <w:sz w:val="24"/>
          <w:szCs w:val="22"/>
        </w:rPr>
        <w:t>董事、高级管理人员减持股份</w:t>
      </w:r>
      <w:r>
        <w:rPr>
          <w:rFonts w:hint="eastAsia" w:ascii="宋体" w:hAnsi="宋体"/>
          <w:kern w:val="0"/>
          <w:sz w:val="24"/>
        </w:rPr>
        <w:t>的有关规定。法律、行政法规、中国证监会另有规定的除外。</w:t>
      </w:r>
    </w:p>
    <w:p w14:paraId="63D18687">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kern w:val="0"/>
          <w:sz w:val="24"/>
        </w:rPr>
        <w:t>公司董事、高级管理人员应当在下列时间委托公司向深圳证券交易所申报其个人及其近亲属（包括配偶、父母、子女、兄弟姐妹等）的身份信息（包括姓名、担任职务、身份证件号码、证券账户、离任职时间等）：</w:t>
      </w:r>
    </w:p>
    <w:p w14:paraId="3214CE9F">
      <w:pPr>
        <w:spacing w:line="360" w:lineRule="auto"/>
        <w:ind w:firstLine="450"/>
        <w:rPr>
          <w:rFonts w:ascii="宋体" w:hAnsi="宋体"/>
          <w:sz w:val="24"/>
          <w:szCs w:val="22"/>
        </w:rPr>
      </w:pPr>
      <w:r>
        <w:rPr>
          <w:rFonts w:hint="eastAsia" w:ascii="宋体" w:hAnsi="宋体"/>
          <w:sz w:val="24"/>
          <w:szCs w:val="22"/>
        </w:rPr>
        <w:t>（一）董事、高级管理人员在公司申请股票上市时；</w:t>
      </w:r>
    </w:p>
    <w:p w14:paraId="485E2671">
      <w:pPr>
        <w:spacing w:line="360" w:lineRule="auto"/>
        <w:ind w:firstLine="450"/>
        <w:rPr>
          <w:rFonts w:ascii="宋体" w:hAnsi="宋体"/>
          <w:sz w:val="24"/>
          <w:szCs w:val="22"/>
        </w:rPr>
      </w:pPr>
      <w:r>
        <w:rPr>
          <w:rFonts w:hint="eastAsia" w:ascii="宋体" w:hAnsi="宋体"/>
          <w:sz w:val="24"/>
          <w:szCs w:val="22"/>
        </w:rPr>
        <w:t>（二）新任董事在股东会（或者职工代表大会）通过其任职事项后两个交易日内；</w:t>
      </w:r>
    </w:p>
    <w:p w14:paraId="3F88F4EE">
      <w:pPr>
        <w:spacing w:line="360" w:lineRule="auto"/>
        <w:ind w:firstLine="450"/>
        <w:rPr>
          <w:rFonts w:ascii="宋体" w:hAnsi="宋体"/>
          <w:sz w:val="24"/>
          <w:szCs w:val="22"/>
        </w:rPr>
      </w:pPr>
      <w:r>
        <w:rPr>
          <w:rFonts w:hint="eastAsia" w:ascii="宋体" w:hAnsi="宋体"/>
          <w:sz w:val="24"/>
          <w:szCs w:val="22"/>
        </w:rPr>
        <w:t>（三）新任高级管理人员在董事会通过其任职事项后两个交易日内；</w:t>
      </w:r>
    </w:p>
    <w:p w14:paraId="6D9AE602">
      <w:pPr>
        <w:spacing w:line="360" w:lineRule="auto"/>
        <w:ind w:firstLine="450"/>
        <w:rPr>
          <w:rFonts w:ascii="宋体" w:hAnsi="宋体"/>
          <w:sz w:val="24"/>
          <w:szCs w:val="22"/>
        </w:rPr>
      </w:pPr>
      <w:r>
        <w:rPr>
          <w:rFonts w:hint="eastAsia" w:ascii="宋体" w:hAnsi="宋体"/>
          <w:sz w:val="24"/>
          <w:szCs w:val="22"/>
        </w:rPr>
        <w:t>（四）现任董事、高级管理人员在其已申报的个人信息发生变化后的两个交易日内；</w:t>
      </w:r>
    </w:p>
    <w:p w14:paraId="14526996">
      <w:pPr>
        <w:spacing w:line="360" w:lineRule="auto"/>
        <w:ind w:firstLine="450"/>
        <w:rPr>
          <w:rFonts w:ascii="宋体" w:hAnsi="宋体"/>
          <w:sz w:val="24"/>
          <w:szCs w:val="22"/>
        </w:rPr>
      </w:pPr>
      <w:r>
        <w:rPr>
          <w:rFonts w:hint="eastAsia" w:ascii="宋体" w:hAnsi="宋体"/>
          <w:sz w:val="24"/>
          <w:szCs w:val="22"/>
        </w:rPr>
        <w:t>（五）现任董事、高级管理人员在离任后两个交易日内；</w:t>
      </w:r>
    </w:p>
    <w:p w14:paraId="0DEFEFB9">
      <w:pPr>
        <w:spacing w:line="360" w:lineRule="auto"/>
        <w:ind w:firstLine="450"/>
        <w:rPr>
          <w:rFonts w:hint="eastAsia" w:ascii="宋体" w:hAnsi="宋体"/>
          <w:sz w:val="24"/>
          <w:szCs w:val="22"/>
        </w:rPr>
      </w:pPr>
      <w:r>
        <w:rPr>
          <w:rFonts w:hint="eastAsia" w:ascii="宋体" w:hAnsi="宋体"/>
          <w:sz w:val="24"/>
          <w:szCs w:val="22"/>
        </w:rPr>
        <w:t>（六）深圳证券交易所要求的其他时间。</w:t>
      </w:r>
    </w:p>
    <w:p w14:paraId="0A344B3A">
      <w:pPr>
        <w:spacing w:line="360" w:lineRule="auto"/>
        <w:ind w:firstLine="450"/>
        <w:rPr>
          <w:rFonts w:ascii="宋体" w:hAnsi="宋体"/>
          <w:sz w:val="24"/>
          <w:szCs w:val="22"/>
        </w:rPr>
      </w:pPr>
      <w:r>
        <w:rPr>
          <w:rFonts w:hint="eastAsia" w:ascii="宋体" w:hAnsi="宋体"/>
          <w:sz w:val="24"/>
          <w:szCs w:val="22"/>
        </w:rPr>
        <w:t>以上申报信息视为相关人员向深圳证券交易所提交的将其所持公司股份按相关规定予以管理的申请。</w:t>
      </w:r>
    </w:p>
    <w:p w14:paraId="096C4DD2">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kern w:val="0"/>
          <w:sz w:val="24"/>
        </w:rPr>
        <w:t>公司董事、高级管理人员所持公司股份发生变动之日起的两个交易日内，深圳证券交易所在网站上公开下列内容：</w:t>
      </w:r>
    </w:p>
    <w:p w14:paraId="77818C99">
      <w:pPr>
        <w:spacing w:line="360" w:lineRule="auto"/>
        <w:ind w:firstLine="450"/>
        <w:rPr>
          <w:rFonts w:ascii="宋体" w:hAnsi="宋体"/>
          <w:sz w:val="24"/>
          <w:szCs w:val="22"/>
        </w:rPr>
      </w:pPr>
      <w:r>
        <w:rPr>
          <w:rFonts w:hint="eastAsia" w:ascii="宋体" w:hAnsi="宋体"/>
          <w:sz w:val="24"/>
          <w:szCs w:val="22"/>
        </w:rPr>
        <w:t>（一）本次变动前持股数量；</w:t>
      </w:r>
    </w:p>
    <w:p w14:paraId="0A6438C1">
      <w:pPr>
        <w:spacing w:line="360" w:lineRule="auto"/>
        <w:ind w:firstLine="450"/>
        <w:rPr>
          <w:rFonts w:ascii="宋体" w:hAnsi="宋体"/>
          <w:sz w:val="24"/>
          <w:szCs w:val="22"/>
        </w:rPr>
      </w:pPr>
      <w:r>
        <w:rPr>
          <w:rFonts w:hint="eastAsia" w:ascii="宋体" w:hAnsi="宋体"/>
          <w:sz w:val="24"/>
          <w:szCs w:val="22"/>
        </w:rPr>
        <w:t>（二）本次股份变动的日期、数量、价格；</w:t>
      </w:r>
    </w:p>
    <w:p w14:paraId="45AA06EB">
      <w:pPr>
        <w:spacing w:line="360" w:lineRule="auto"/>
        <w:ind w:firstLine="450"/>
        <w:rPr>
          <w:rFonts w:ascii="宋体" w:hAnsi="宋体"/>
          <w:sz w:val="24"/>
          <w:szCs w:val="22"/>
        </w:rPr>
      </w:pPr>
      <w:r>
        <w:rPr>
          <w:rFonts w:hint="eastAsia" w:ascii="宋体" w:hAnsi="宋体"/>
          <w:sz w:val="24"/>
          <w:szCs w:val="22"/>
        </w:rPr>
        <w:t>（三）本次变动后的持股数量；</w:t>
      </w:r>
    </w:p>
    <w:p w14:paraId="18A29805">
      <w:pPr>
        <w:spacing w:line="360" w:lineRule="auto"/>
        <w:ind w:firstLine="450"/>
        <w:rPr>
          <w:rFonts w:ascii="宋体" w:hAnsi="宋体"/>
          <w:sz w:val="24"/>
          <w:szCs w:val="22"/>
        </w:rPr>
      </w:pPr>
      <w:r>
        <w:rPr>
          <w:rFonts w:hint="eastAsia" w:ascii="宋体" w:hAnsi="宋体"/>
          <w:sz w:val="24"/>
          <w:szCs w:val="22"/>
        </w:rPr>
        <w:t>（四）深圳证券交易所要求的其他事项。</w:t>
      </w:r>
    </w:p>
    <w:p w14:paraId="742779E2">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sz w:val="24"/>
          <w:szCs w:val="22"/>
        </w:rPr>
        <w:t>公司董事、高级管理人员违反</w:t>
      </w:r>
      <w:r>
        <w:rPr>
          <w:rFonts w:ascii="宋体" w:hAnsi="宋体"/>
          <w:kern w:val="0"/>
          <w:sz w:val="24"/>
        </w:rPr>
        <w:t>《</w:t>
      </w:r>
      <w:r>
        <w:rPr>
          <w:rFonts w:hint="eastAsia" w:ascii="宋体" w:hAnsi="宋体"/>
          <w:kern w:val="0"/>
          <w:sz w:val="24"/>
        </w:rPr>
        <w:t>中华人民共和国</w:t>
      </w:r>
      <w:r>
        <w:rPr>
          <w:rFonts w:ascii="宋体" w:hAnsi="宋体"/>
          <w:kern w:val="0"/>
          <w:sz w:val="24"/>
        </w:rPr>
        <w:t>证券法》</w:t>
      </w:r>
      <w:r>
        <w:rPr>
          <w:rFonts w:hint="eastAsia" w:ascii="宋体" w:hAnsi="宋体"/>
          <w:sz w:val="24"/>
          <w:szCs w:val="22"/>
        </w:rPr>
        <w:t>有关规定，将其所持本公司股票或者其他具有股权性质的证券在买入后六个月内卖出，或者在卖出后六个月内又买入的，公司董事会应当及时采取处理措施，核实相关人员违规买卖的情况、收益的金额等具体情况，并收回其所得收益。</w:t>
      </w:r>
    </w:p>
    <w:p w14:paraId="6AFC57FF">
      <w:pPr>
        <w:spacing w:line="360" w:lineRule="auto"/>
        <w:ind w:firstLine="450"/>
        <w:rPr>
          <w:rFonts w:hint="eastAsia" w:ascii="宋体" w:hAnsi="宋体"/>
          <w:sz w:val="24"/>
          <w:szCs w:val="22"/>
        </w:rPr>
      </w:pPr>
      <w:r>
        <w:rPr>
          <w:rFonts w:hint="eastAsia" w:ascii="宋体" w:hAnsi="宋体"/>
          <w:sz w:val="24"/>
          <w:szCs w:val="22"/>
        </w:rPr>
        <w:t>前款所称董事、高级管理人员持有的股票或者其他具有股权性质的证券，包括其配偶、父母、子女持有的及利用他人账户持有的股票或者其他具有股权性质的证券。</w:t>
      </w:r>
    </w:p>
    <w:p w14:paraId="30EC3CD9">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kern w:val="0"/>
          <w:sz w:val="24"/>
        </w:rPr>
        <w:t>公司董事、高级管理人员在下列期间不得买卖本公司股份：</w:t>
      </w:r>
    </w:p>
    <w:p w14:paraId="05FC6785">
      <w:pPr>
        <w:spacing w:line="360" w:lineRule="auto"/>
        <w:ind w:firstLine="450"/>
        <w:rPr>
          <w:rFonts w:ascii="宋体" w:hAnsi="宋体"/>
          <w:sz w:val="24"/>
          <w:szCs w:val="22"/>
        </w:rPr>
      </w:pPr>
      <w:r>
        <w:rPr>
          <w:rFonts w:hint="eastAsia" w:ascii="宋体" w:hAnsi="宋体"/>
          <w:sz w:val="24"/>
          <w:szCs w:val="22"/>
        </w:rPr>
        <w:t>（一）公司年度报告、半年度报告公告前十五日内，因特殊原因推迟公告日期的，自原预约公告日前十五日起算；</w:t>
      </w:r>
    </w:p>
    <w:p w14:paraId="46D59E8F">
      <w:pPr>
        <w:spacing w:line="360" w:lineRule="auto"/>
        <w:ind w:firstLine="450"/>
        <w:rPr>
          <w:rFonts w:ascii="宋体" w:hAnsi="宋体"/>
          <w:sz w:val="24"/>
          <w:szCs w:val="22"/>
        </w:rPr>
      </w:pPr>
      <w:r>
        <w:rPr>
          <w:rFonts w:hint="eastAsia" w:ascii="宋体" w:hAnsi="宋体"/>
          <w:sz w:val="24"/>
          <w:szCs w:val="22"/>
        </w:rPr>
        <w:t>（二）公司季度报告、业绩预告、业绩快报公告前五日内；</w:t>
      </w:r>
    </w:p>
    <w:p w14:paraId="4DEF5B46">
      <w:pPr>
        <w:spacing w:line="360" w:lineRule="auto"/>
        <w:ind w:firstLine="450"/>
        <w:rPr>
          <w:rFonts w:ascii="宋体" w:hAnsi="宋体"/>
          <w:sz w:val="24"/>
          <w:szCs w:val="22"/>
        </w:rPr>
      </w:pPr>
      <w:r>
        <w:rPr>
          <w:rFonts w:hint="eastAsia" w:ascii="宋体" w:hAnsi="宋体"/>
          <w:sz w:val="24"/>
          <w:szCs w:val="22"/>
        </w:rPr>
        <w:t>（三）自可能对公司股票及其衍生品种交易价格产生较大影响的重大事件发生之日起或者进入决策程序之日至依法披露之日止；</w:t>
      </w:r>
    </w:p>
    <w:p w14:paraId="66503058">
      <w:pPr>
        <w:spacing w:line="360" w:lineRule="auto"/>
        <w:ind w:firstLine="450"/>
        <w:rPr>
          <w:rFonts w:ascii="宋体" w:hAnsi="宋体"/>
          <w:sz w:val="24"/>
          <w:szCs w:val="22"/>
        </w:rPr>
      </w:pPr>
      <w:r>
        <w:rPr>
          <w:rFonts w:hint="eastAsia" w:ascii="宋体" w:hAnsi="宋体"/>
          <w:sz w:val="24"/>
          <w:szCs w:val="22"/>
        </w:rPr>
        <w:t>（四）中国证监会及深圳证券交易所规定的其他期间。</w:t>
      </w:r>
    </w:p>
    <w:p w14:paraId="4E591C0E">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kern w:val="0"/>
          <w:sz w:val="24"/>
        </w:rPr>
        <w:t>公司及其董事、高级管理人员应当保证其向深圳证券交易所申报信息的真实、准确、及时、完整，同意深圳证券交易所及时公布相关人员持有公司股份的变动情况，并承担由此产生的法律责任。</w:t>
      </w:r>
    </w:p>
    <w:p w14:paraId="26A8631D">
      <w:pPr>
        <w:numPr>
          <w:ilvl w:val="0"/>
          <w:numId w:val="1"/>
        </w:numPr>
        <w:tabs>
          <w:tab w:val="left" w:pos="1620"/>
          <w:tab w:val="clear" w:pos="720"/>
        </w:tabs>
        <w:spacing w:line="360" w:lineRule="auto"/>
        <w:ind w:left="0" w:firstLine="462"/>
        <w:rPr>
          <w:rFonts w:ascii="宋体" w:hAnsi="宋体"/>
          <w:kern w:val="0"/>
          <w:sz w:val="24"/>
        </w:rPr>
      </w:pPr>
      <w:r>
        <w:rPr>
          <w:rFonts w:hint="eastAsia" w:ascii="宋体" w:hAnsi="宋体"/>
          <w:kern w:val="0"/>
          <w:sz w:val="24"/>
        </w:rPr>
        <w:t>公司董事、高级管理人员在买卖本公司股份前，应当将其买卖计划以书面方式通知董事会秘书，董事会秘书应当核查公司信息披露及重大事项等进展情况，该买卖行为可能违反法律法规、深圳证券交易所相关规定和《公司章程》的，董事会秘书应当及时书面通知相关董事、高级管理人员。</w:t>
      </w:r>
    </w:p>
    <w:p w14:paraId="580D9952">
      <w:pPr>
        <w:numPr>
          <w:ilvl w:val="0"/>
          <w:numId w:val="1"/>
        </w:numPr>
        <w:tabs>
          <w:tab w:val="left" w:pos="1620"/>
          <w:tab w:val="clear" w:pos="720"/>
        </w:tabs>
        <w:spacing w:line="360" w:lineRule="auto"/>
        <w:ind w:left="0" w:firstLine="462"/>
        <w:rPr>
          <w:rFonts w:hint="eastAsia" w:ascii="宋体" w:hAnsi="宋体"/>
          <w:kern w:val="0"/>
          <w:sz w:val="24"/>
        </w:rPr>
      </w:pPr>
      <w:r>
        <w:rPr>
          <w:rFonts w:hint="eastAsia" w:ascii="宋体" w:hAnsi="宋体"/>
          <w:kern w:val="0"/>
          <w:sz w:val="24"/>
        </w:rPr>
        <w:t>公司董事、高级管理人员应当确保下列自然人、法人或者其他组织不从事因获知内幕信息而买卖公司股份的行为：</w:t>
      </w:r>
    </w:p>
    <w:p w14:paraId="4976B948">
      <w:pPr>
        <w:widowControl/>
        <w:tabs>
          <w:tab w:val="left" w:pos="1800"/>
        </w:tabs>
        <w:spacing w:line="408" w:lineRule="auto"/>
        <w:ind w:firstLine="480" w:firstLineChars="200"/>
        <w:jc w:val="left"/>
        <w:rPr>
          <w:rFonts w:ascii="宋体" w:hAnsi="宋体"/>
          <w:sz w:val="24"/>
          <w:szCs w:val="22"/>
        </w:rPr>
      </w:pPr>
      <w:r>
        <w:rPr>
          <w:rFonts w:hint="eastAsia" w:ascii="宋体" w:hAnsi="宋体"/>
          <w:sz w:val="24"/>
          <w:szCs w:val="22"/>
        </w:rPr>
        <w:t>（一）公司董事、高级管理人员的配偶、父母、子女、兄弟姐妹；</w:t>
      </w:r>
    </w:p>
    <w:p w14:paraId="7C8554CA">
      <w:pPr>
        <w:widowControl/>
        <w:tabs>
          <w:tab w:val="left" w:pos="1800"/>
        </w:tabs>
        <w:spacing w:line="408" w:lineRule="auto"/>
        <w:ind w:firstLine="480" w:firstLineChars="200"/>
        <w:jc w:val="left"/>
        <w:rPr>
          <w:rFonts w:ascii="宋体" w:hAnsi="宋体"/>
          <w:sz w:val="24"/>
          <w:szCs w:val="22"/>
        </w:rPr>
      </w:pPr>
      <w:r>
        <w:rPr>
          <w:rFonts w:hint="eastAsia" w:ascii="宋体" w:hAnsi="宋体"/>
          <w:sz w:val="24"/>
          <w:szCs w:val="22"/>
        </w:rPr>
        <w:t>（二）公司董事、高级管理人员控制的法人或者其他组织；</w:t>
      </w:r>
    </w:p>
    <w:p w14:paraId="034BF0B3">
      <w:pPr>
        <w:widowControl/>
        <w:tabs>
          <w:tab w:val="left" w:pos="1800"/>
        </w:tabs>
        <w:spacing w:line="408" w:lineRule="auto"/>
        <w:ind w:firstLine="480" w:firstLineChars="200"/>
        <w:jc w:val="left"/>
        <w:rPr>
          <w:rFonts w:ascii="宋体" w:hAnsi="宋体"/>
          <w:sz w:val="24"/>
          <w:szCs w:val="22"/>
        </w:rPr>
      </w:pPr>
      <w:r>
        <w:rPr>
          <w:rFonts w:hint="eastAsia" w:ascii="宋体" w:hAnsi="宋体"/>
          <w:sz w:val="24"/>
          <w:szCs w:val="22"/>
        </w:rPr>
        <w:t>（三）中国证监会、深圳证券交易所或者公司根据实质重于形式的原则认定的其他与公司或者公司董事、高级管理人员有特殊关系，可能获知内幕信息的自然人、法人或者其他组织。</w:t>
      </w:r>
    </w:p>
    <w:p w14:paraId="406D505E">
      <w:pPr>
        <w:numPr>
          <w:ilvl w:val="0"/>
          <w:numId w:val="1"/>
        </w:numPr>
        <w:tabs>
          <w:tab w:val="left" w:pos="1620"/>
          <w:tab w:val="clear" w:pos="720"/>
        </w:tabs>
        <w:spacing w:line="360" w:lineRule="auto"/>
        <w:ind w:left="0" w:firstLine="462"/>
        <w:rPr>
          <w:rFonts w:hint="eastAsia" w:ascii="宋体" w:hAnsi="宋体"/>
          <w:kern w:val="0"/>
          <w:sz w:val="24"/>
        </w:rPr>
      </w:pPr>
      <w:r>
        <w:rPr>
          <w:rFonts w:hint="eastAsia" w:ascii="宋体" w:hAnsi="宋体"/>
          <w:kern w:val="0"/>
          <w:sz w:val="24"/>
        </w:rPr>
        <w:t xml:space="preserve"> 公司董事会秘书负责管理公司董事、高级管理人员以及本办法第二十一条规定的自然人、法人或者其他组织的身份及所持公司股份的数据，统一为相关人员办理个人信息的网上申报，并每季度检查其买卖公司股票的披露情况。发现违法违规的，应当及时向中国证监会、深圳证券交易所报告。</w:t>
      </w:r>
    </w:p>
    <w:p w14:paraId="12AF9734">
      <w:pPr>
        <w:numPr>
          <w:ilvl w:val="0"/>
          <w:numId w:val="1"/>
        </w:numPr>
        <w:tabs>
          <w:tab w:val="left" w:pos="1620"/>
          <w:tab w:val="clear" w:pos="720"/>
        </w:tabs>
        <w:spacing w:line="360" w:lineRule="auto"/>
        <w:ind w:left="0" w:firstLine="462"/>
        <w:rPr>
          <w:rFonts w:hint="eastAsia" w:ascii="宋体" w:hAnsi="宋体"/>
          <w:kern w:val="0"/>
          <w:sz w:val="24"/>
        </w:rPr>
      </w:pPr>
      <w:r>
        <w:rPr>
          <w:rFonts w:hint="eastAsia" w:ascii="宋体" w:hAnsi="宋体"/>
          <w:kern w:val="0"/>
          <w:sz w:val="24"/>
        </w:rPr>
        <w:t xml:space="preserve"> 本办法未尽事宜，依照国家有关法律、行政法规、部门规章、规范性文件、深圳证券交易所相关规则的有关规定执行。</w:t>
      </w:r>
    </w:p>
    <w:p w14:paraId="69AF84EA">
      <w:pPr>
        <w:numPr>
          <w:ilvl w:val="0"/>
          <w:numId w:val="1"/>
        </w:numPr>
        <w:tabs>
          <w:tab w:val="left" w:pos="1620"/>
          <w:tab w:val="clear" w:pos="720"/>
        </w:tabs>
        <w:spacing w:line="360" w:lineRule="auto"/>
        <w:ind w:left="0" w:firstLine="462"/>
        <w:rPr>
          <w:rFonts w:hint="eastAsia" w:ascii="宋体" w:hAnsi="宋体"/>
          <w:kern w:val="0"/>
          <w:sz w:val="24"/>
        </w:rPr>
      </w:pPr>
      <w:r>
        <w:rPr>
          <w:rFonts w:hint="eastAsia" w:ascii="宋体" w:hAnsi="宋体"/>
          <w:kern w:val="0"/>
          <w:sz w:val="24"/>
        </w:rPr>
        <w:t xml:space="preserve"> 本办法由董事会负责解释。</w:t>
      </w:r>
    </w:p>
    <w:p w14:paraId="63683C62">
      <w:pPr>
        <w:numPr>
          <w:ilvl w:val="0"/>
          <w:numId w:val="1"/>
        </w:numPr>
        <w:tabs>
          <w:tab w:val="left" w:pos="1620"/>
          <w:tab w:val="clear" w:pos="720"/>
        </w:tabs>
        <w:spacing w:line="360" w:lineRule="auto"/>
        <w:ind w:left="0" w:firstLine="462"/>
        <w:rPr>
          <w:rFonts w:hint="eastAsia" w:ascii="宋体" w:hAnsi="宋体"/>
          <w:kern w:val="0"/>
          <w:sz w:val="24"/>
        </w:rPr>
      </w:pPr>
      <w:r>
        <w:rPr>
          <w:rFonts w:ascii="宋体" w:hAnsi="宋体"/>
          <w:kern w:val="0"/>
          <w:sz w:val="24"/>
        </w:rPr>
        <w:t xml:space="preserve"> </w:t>
      </w:r>
      <w:r>
        <w:rPr>
          <w:rFonts w:hint="eastAsia" w:ascii="宋体" w:hAnsi="宋体"/>
          <w:kern w:val="0"/>
          <w:sz w:val="24"/>
        </w:rPr>
        <w:t>本办法经董事会审议通过之日起生效实施。</w:t>
      </w:r>
    </w:p>
    <w:p w14:paraId="344B1CE1">
      <w:pPr>
        <w:widowControl/>
        <w:tabs>
          <w:tab w:val="left" w:pos="1800"/>
        </w:tabs>
        <w:spacing w:line="408" w:lineRule="auto"/>
        <w:ind w:firstLine="480" w:firstLineChars="200"/>
        <w:jc w:val="left"/>
        <w:rPr>
          <w:rFonts w:hint="eastAsia" w:ascii="宋体" w:hAnsi="宋体"/>
          <w:sz w:val="24"/>
          <w:szCs w:val="2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60F9">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lang/>
      </w:rPr>
      <w:t>5</w:t>
    </w:r>
    <w:r>
      <w:fldChar w:fldCharType="end"/>
    </w:r>
  </w:p>
  <w:p w14:paraId="3D21172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3481">
    <w:pPr>
      <w:pStyle w:val="3"/>
      <w:framePr w:wrap="around" w:vAnchor="text" w:hAnchor="margin" w:xAlign="center" w:y="1"/>
      <w:rPr>
        <w:rStyle w:val="8"/>
      </w:rPr>
    </w:pPr>
    <w:r>
      <w:fldChar w:fldCharType="begin"/>
    </w:r>
    <w:r>
      <w:rPr>
        <w:rStyle w:val="8"/>
      </w:rPr>
      <w:instrText xml:space="preserve">PAGE  </w:instrText>
    </w:r>
    <w:r>
      <w:fldChar w:fldCharType="end"/>
    </w:r>
  </w:p>
  <w:p w14:paraId="389BB3E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E127A"/>
    <w:multiLevelType w:val="multilevel"/>
    <w:tmpl w:val="3C6E127A"/>
    <w:lvl w:ilvl="0" w:tentative="0">
      <w:start w:val="1"/>
      <w:numFmt w:val="japaneseCounting"/>
      <w:lvlText w:val="第%1条"/>
      <w:lvlJc w:val="left"/>
      <w:pPr>
        <w:tabs>
          <w:tab w:val="left" w:pos="720"/>
        </w:tabs>
        <w:ind w:left="720" w:hanging="720"/>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DA"/>
    <w:rsid w:val="00001BA8"/>
    <w:rsid w:val="000136D2"/>
    <w:rsid w:val="00036A54"/>
    <w:rsid w:val="00046F42"/>
    <w:rsid w:val="00065591"/>
    <w:rsid w:val="0006617B"/>
    <w:rsid w:val="00066EDA"/>
    <w:rsid w:val="00090212"/>
    <w:rsid w:val="000B6C14"/>
    <w:rsid w:val="000C33E4"/>
    <w:rsid w:val="000C4140"/>
    <w:rsid w:val="000D4C8F"/>
    <w:rsid w:val="000E2578"/>
    <w:rsid w:val="000F30FF"/>
    <w:rsid w:val="000F44DA"/>
    <w:rsid w:val="000F6A79"/>
    <w:rsid w:val="0010629B"/>
    <w:rsid w:val="00110A10"/>
    <w:rsid w:val="00110CE8"/>
    <w:rsid w:val="001164A8"/>
    <w:rsid w:val="00130AAB"/>
    <w:rsid w:val="001374CA"/>
    <w:rsid w:val="00142E0C"/>
    <w:rsid w:val="00144B37"/>
    <w:rsid w:val="00145184"/>
    <w:rsid w:val="00145EF2"/>
    <w:rsid w:val="00152897"/>
    <w:rsid w:val="0016282B"/>
    <w:rsid w:val="00176131"/>
    <w:rsid w:val="00176B3F"/>
    <w:rsid w:val="00183206"/>
    <w:rsid w:val="001E36FC"/>
    <w:rsid w:val="001F6300"/>
    <w:rsid w:val="002138F4"/>
    <w:rsid w:val="00213E43"/>
    <w:rsid w:val="0021686B"/>
    <w:rsid w:val="00221B86"/>
    <w:rsid w:val="00252887"/>
    <w:rsid w:val="002562CA"/>
    <w:rsid w:val="0025679B"/>
    <w:rsid w:val="00261840"/>
    <w:rsid w:val="00262336"/>
    <w:rsid w:val="002658CE"/>
    <w:rsid w:val="00267DDD"/>
    <w:rsid w:val="002A03C0"/>
    <w:rsid w:val="002D0DA5"/>
    <w:rsid w:val="002F18DC"/>
    <w:rsid w:val="002F5E4B"/>
    <w:rsid w:val="00311B72"/>
    <w:rsid w:val="00311C4C"/>
    <w:rsid w:val="00326C3C"/>
    <w:rsid w:val="00331445"/>
    <w:rsid w:val="00332ADC"/>
    <w:rsid w:val="003452F9"/>
    <w:rsid w:val="0035256F"/>
    <w:rsid w:val="00352EDC"/>
    <w:rsid w:val="00356742"/>
    <w:rsid w:val="0038209A"/>
    <w:rsid w:val="0038454A"/>
    <w:rsid w:val="00391737"/>
    <w:rsid w:val="003A256E"/>
    <w:rsid w:val="003C023F"/>
    <w:rsid w:val="003C434C"/>
    <w:rsid w:val="003D789A"/>
    <w:rsid w:val="003E67DA"/>
    <w:rsid w:val="00401BAF"/>
    <w:rsid w:val="004030A1"/>
    <w:rsid w:val="00403E98"/>
    <w:rsid w:val="00446D74"/>
    <w:rsid w:val="004671A3"/>
    <w:rsid w:val="00475C9D"/>
    <w:rsid w:val="004806F2"/>
    <w:rsid w:val="00486268"/>
    <w:rsid w:val="004A485B"/>
    <w:rsid w:val="004B2070"/>
    <w:rsid w:val="004B23B1"/>
    <w:rsid w:val="004B34C0"/>
    <w:rsid w:val="004B5B70"/>
    <w:rsid w:val="004C1647"/>
    <w:rsid w:val="004C2194"/>
    <w:rsid w:val="004C7CB4"/>
    <w:rsid w:val="004F2E2E"/>
    <w:rsid w:val="00520D12"/>
    <w:rsid w:val="005352B6"/>
    <w:rsid w:val="0055655A"/>
    <w:rsid w:val="00565A11"/>
    <w:rsid w:val="0056735F"/>
    <w:rsid w:val="00574346"/>
    <w:rsid w:val="005823C5"/>
    <w:rsid w:val="005941B5"/>
    <w:rsid w:val="005B791B"/>
    <w:rsid w:val="005C34DF"/>
    <w:rsid w:val="005F4EAC"/>
    <w:rsid w:val="00607BCB"/>
    <w:rsid w:val="0066147B"/>
    <w:rsid w:val="0067110C"/>
    <w:rsid w:val="00672174"/>
    <w:rsid w:val="00690DAD"/>
    <w:rsid w:val="006A5388"/>
    <w:rsid w:val="006B1096"/>
    <w:rsid w:val="006C2627"/>
    <w:rsid w:val="006D0C96"/>
    <w:rsid w:val="006F6536"/>
    <w:rsid w:val="007065D9"/>
    <w:rsid w:val="00727FA8"/>
    <w:rsid w:val="00750FFA"/>
    <w:rsid w:val="0076492A"/>
    <w:rsid w:val="0077028A"/>
    <w:rsid w:val="00770E50"/>
    <w:rsid w:val="00783CF1"/>
    <w:rsid w:val="0079040E"/>
    <w:rsid w:val="007A722D"/>
    <w:rsid w:val="007B2AF9"/>
    <w:rsid w:val="007B2F54"/>
    <w:rsid w:val="007E5E1C"/>
    <w:rsid w:val="007F638C"/>
    <w:rsid w:val="008034F9"/>
    <w:rsid w:val="008171D5"/>
    <w:rsid w:val="00821887"/>
    <w:rsid w:val="00847478"/>
    <w:rsid w:val="008633EF"/>
    <w:rsid w:val="008B2B55"/>
    <w:rsid w:val="008E77D1"/>
    <w:rsid w:val="008F5EA2"/>
    <w:rsid w:val="009028BC"/>
    <w:rsid w:val="00925A66"/>
    <w:rsid w:val="00934AF5"/>
    <w:rsid w:val="00940F01"/>
    <w:rsid w:val="00942B20"/>
    <w:rsid w:val="009623B0"/>
    <w:rsid w:val="0097065E"/>
    <w:rsid w:val="009A616E"/>
    <w:rsid w:val="009B41D3"/>
    <w:rsid w:val="009B602C"/>
    <w:rsid w:val="009D4C1F"/>
    <w:rsid w:val="00A012F9"/>
    <w:rsid w:val="00A308B9"/>
    <w:rsid w:val="00A36315"/>
    <w:rsid w:val="00A43CBC"/>
    <w:rsid w:val="00A50CC8"/>
    <w:rsid w:val="00A53063"/>
    <w:rsid w:val="00A549AC"/>
    <w:rsid w:val="00A65ED7"/>
    <w:rsid w:val="00AB32DA"/>
    <w:rsid w:val="00AC1B7A"/>
    <w:rsid w:val="00AC7A69"/>
    <w:rsid w:val="00AE217D"/>
    <w:rsid w:val="00AE281D"/>
    <w:rsid w:val="00AE72C2"/>
    <w:rsid w:val="00B00206"/>
    <w:rsid w:val="00B11459"/>
    <w:rsid w:val="00B26964"/>
    <w:rsid w:val="00B30F69"/>
    <w:rsid w:val="00B43FA3"/>
    <w:rsid w:val="00B55065"/>
    <w:rsid w:val="00B55F7A"/>
    <w:rsid w:val="00B63E09"/>
    <w:rsid w:val="00BB2509"/>
    <w:rsid w:val="00BB58F6"/>
    <w:rsid w:val="00BB6BA7"/>
    <w:rsid w:val="00BB74C9"/>
    <w:rsid w:val="00BD5772"/>
    <w:rsid w:val="00BF4019"/>
    <w:rsid w:val="00BF4972"/>
    <w:rsid w:val="00C5585E"/>
    <w:rsid w:val="00C65AF1"/>
    <w:rsid w:val="00C772F8"/>
    <w:rsid w:val="00C92B41"/>
    <w:rsid w:val="00C95462"/>
    <w:rsid w:val="00CA6B21"/>
    <w:rsid w:val="00CB0309"/>
    <w:rsid w:val="00CB22FA"/>
    <w:rsid w:val="00CC5D50"/>
    <w:rsid w:val="00CD0A40"/>
    <w:rsid w:val="00CD625E"/>
    <w:rsid w:val="00CE21F7"/>
    <w:rsid w:val="00CE7259"/>
    <w:rsid w:val="00CF5341"/>
    <w:rsid w:val="00D021CF"/>
    <w:rsid w:val="00D03175"/>
    <w:rsid w:val="00D0327E"/>
    <w:rsid w:val="00D0565A"/>
    <w:rsid w:val="00D15694"/>
    <w:rsid w:val="00D476E0"/>
    <w:rsid w:val="00D47AB7"/>
    <w:rsid w:val="00D5362A"/>
    <w:rsid w:val="00D60251"/>
    <w:rsid w:val="00D61996"/>
    <w:rsid w:val="00D62581"/>
    <w:rsid w:val="00D90C38"/>
    <w:rsid w:val="00D962FA"/>
    <w:rsid w:val="00DA46D4"/>
    <w:rsid w:val="00DB1924"/>
    <w:rsid w:val="00DB1937"/>
    <w:rsid w:val="00DB5DE1"/>
    <w:rsid w:val="00DB7435"/>
    <w:rsid w:val="00DE59A8"/>
    <w:rsid w:val="00DF7EFF"/>
    <w:rsid w:val="00E048DA"/>
    <w:rsid w:val="00E1135E"/>
    <w:rsid w:val="00E12D05"/>
    <w:rsid w:val="00E42374"/>
    <w:rsid w:val="00E6190C"/>
    <w:rsid w:val="00E63AAE"/>
    <w:rsid w:val="00E807D4"/>
    <w:rsid w:val="00E852C2"/>
    <w:rsid w:val="00E8576A"/>
    <w:rsid w:val="00E96DB9"/>
    <w:rsid w:val="00F055B5"/>
    <w:rsid w:val="00F24A46"/>
    <w:rsid w:val="00F507AF"/>
    <w:rsid w:val="00F5543D"/>
    <w:rsid w:val="00F56166"/>
    <w:rsid w:val="00F66FBA"/>
    <w:rsid w:val="00F72644"/>
    <w:rsid w:val="00F76D62"/>
    <w:rsid w:val="00FA2F30"/>
    <w:rsid w:val="00FA55E4"/>
    <w:rsid w:val="00FA5E56"/>
    <w:rsid w:val="00FA6006"/>
    <w:rsid w:val="00FB4FEC"/>
    <w:rsid w:val="00FB6863"/>
    <w:rsid w:val="00FC360F"/>
    <w:rsid w:val="00FD0EAB"/>
    <w:rsid w:val="00FD21F0"/>
    <w:rsid w:val="00FD26E3"/>
    <w:rsid w:val="00FD5C42"/>
    <w:rsid w:val="00FE01D2"/>
    <w:rsid w:val="0719329E"/>
    <w:rsid w:val="0CC522E4"/>
    <w:rsid w:val="1D041454"/>
    <w:rsid w:val="518F15DB"/>
    <w:rsid w:val="5EDF22BD"/>
    <w:rsid w:val="68C550D5"/>
    <w:rsid w:val="77B340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kern w:val="0"/>
      <w:sz w:val="24"/>
    </w:rPr>
  </w:style>
  <w:style w:type="character" w:styleId="8">
    <w:name w:val="page number"/>
    <w:uiPriority w:val="0"/>
  </w:style>
  <w:style w:type="character" w:customStyle="1" w:styleId="9">
    <w:name w:val="批注框文本 Char"/>
    <w:link w:val="2"/>
    <w:uiPriority w:val="0"/>
    <w:rPr>
      <w:kern w:val="2"/>
      <w:sz w:val="18"/>
      <w:szCs w:val="18"/>
    </w:rPr>
  </w:style>
  <w:style w:type="character" w:customStyle="1" w:styleId="10">
    <w:name w:val="fontstyle21"/>
    <w:uiPriority w:val="0"/>
    <w:rPr>
      <w:rFonts w:hint="eastAsia" w:ascii="宋体" w:hAnsi="宋体" w:eastAsia="宋体"/>
      <w:color w:val="000000"/>
      <w:sz w:val="24"/>
      <w:szCs w:val="24"/>
    </w:rPr>
  </w:style>
  <w:style w:type="character" w:customStyle="1" w:styleId="11">
    <w:name w:val="fontstyle01"/>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tf</Company>
  <Pages>5</Pages>
  <Words>3479</Words>
  <Characters>3490</Characters>
  <Lines>25</Lines>
  <Paragraphs>7</Paragraphs>
  <TotalTime>0</TotalTime>
  <ScaleCrop>false</ScaleCrop>
  <LinksUpToDate>false</LinksUpToDate>
  <CharactersWithSpaces>3497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2019-03-05T14:12:00Z</dcterms:created>
  <dc:creator>bin.xia</dc:creator>
  <cp:lastModifiedBy>WSY</cp:lastModifiedBy>
  <cp:lastPrinted>2009-02-13T09:46:00Z</cp:lastPrinted>
  <dcterms:modified xsi:type="dcterms:W3CDTF">2025-07-23T07:34:54Z</dcterms:modified>
  <dc:title>深圳市怡亚通供应链股份有限公司董事、监事和高级管理人员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eyJoZGlkIjoiMGYyMzhhMzNmNzJhMTU4YjMxZTc1YjkyNzFjZGE5ZTciLCJ1c2VySWQiOiIyNjU0NTI1NDMifQ==</vt:lpwstr>
  </property>
  <property fmtid="{D5CDD505-2E9C-101B-9397-08002B2CF9AE}" pid="4" name="ICV">
    <vt:lpwstr>58637B2024644CA08E85DD5FA0DF6D96_13</vt:lpwstr>
  </property>
</Properties>
</file>