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BF461" w14:textId="77777777" w:rsidR="00F4326A" w:rsidRDefault="00347EBC">
      <w:pPr>
        <w:wordWrap w:val="0"/>
        <w:spacing w:line="440" w:lineRule="exact"/>
        <w:jc w:val="center"/>
        <w:rPr>
          <w:rFonts w:ascii="黑体" w:eastAsia="黑体" w:hAnsi="黑体"/>
          <w:bCs/>
          <w:kern w:val="0"/>
          <w:szCs w:val="21"/>
        </w:rPr>
      </w:pPr>
      <w:r>
        <w:rPr>
          <w:rFonts w:ascii="黑体" w:eastAsia="黑体" w:hAnsi="黑体"/>
          <w:bCs/>
          <w:kern w:val="0"/>
          <w:szCs w:val="21"/>
        </w:rPr>
        <w:t>证券代码：</w:t>
      </w:r>
      <w:r>
        <w:rPr>
          <w:rFonts w:ascii="黑体" w:eastAsia="黑体" w:hAnsi="黑体"/>
          <w:bCs/>
          <w:kern w:val="0"/>
          <w:szCs w:val="21"/>
        </w:rPr>
        <w:t xml:space="preserve">002042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bCs/>
          <w:kern w:val="0"/>
          <w:szCs w:val="21"/>
        </w:rPr>
        <w:t>证券简称：华孚时尚</w:t>
      </w:r>
      <w:r>
        <w:rPr>
          <w:rFonts w:ascii="黑体" w:eastAsia="黑体" w:hAnsi="黑体"/>
          <w:bCs/>
          <w:kern w:val="0"/>
          <w:szCs w:val="21"/>
        </w:rPr>
        <w:t xml:space="preserve">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hint="eastAsia"/>
          <w:bCs/>
          <w:kern w:val="0"/>
          <w:szCs w:val="21"/>
        </w:rPr>
        <w:t xml:space="preserve">    </w:t>
      </w:r>
      <w:r>
        <w:rPr>
          <w:rFonts w:ascii="黑体" w:eastAsia="黑体" w:hAnsi="黑体"/>
          <w:bCs/>
          <w:kern w:val="0"/>
          <w:szCs w:val="21"/>
        </w:rPr>
        <w:t xml:space="preserve">   </w:t>
      </w:r>
      <w:r>
        <w:rPr>
          <w:rFonts w:ascii="黑体" w:eastAsia="黑体" w:hAnsi="黑体"/>
          <w:bCs/>
          <w:kern w:val="0"/>
          <w:szCs w:val="21"/>
        </w:rPr>
        <w:t>公告编号：</w:t>
      </w:r>
      <w:r>
        <w:rPr>
          <w:rFonts w:ascii="黑体" w:eastAsia="黑体" w:hAnsi="黑体"/>
          <w:bCs/>
          <w:kern w:val="0"/>
          <w:szCs w:val="21"/>
        </w:rPr>
        <w:t>2</w:t>
      </w:r>
      <w:r>
        <w:rPr>
          <w:rFonts w:ascii="黑体" w:eastAsia="黑体" w:hAnsi="黑体" w:hint="eastAsia"/>
          <w:bCs/>
          <w:kern w:val="0"/>
          <w:szCs w:val="21"/>
        </w:rPr>
        <w:t>025-44</w:t>
      </w:r>
    </w:p>
    <w:p w14:paraId="3D520575" w14:textId="77777777" w:rsidR="00F4326A" w:rsidRDefault="00F4326A">
      <w:pPr>
        <w:wordWrap w:val="0"/>
        <w:autoSpaceDE w:val="0"/>
        <w:autoSpaceDN w:val="0"/>
        <w:adjustRightInd w:val="0"/>
        <w:jc w:val="center"/>
        <w:rPr>
          <w:rFonts w:ascii="Times New Roman" w:hAnsi="Times New Roman"/>
          <w:kern w:val="0"/>
          <w:sz w:val="24"/>
          <w:szCs w:val="36"/>
        </w:rPr>
      </w:pPr>
    </w:p>
    <w:p w14:paraId="5E46A909" w14:textId="77777777" w:rsidR="00F4326A" w:rsidRDefault="00347EBC">
      <w:pPr>
        <w:wordWrap w:val="0"/>
        <w:autoSpaceDE w:val="0"/>
        <w:autoSpaceDN w:val="0"/>
        <w:adjustRightInd w:val="0"/>
        <w:jc w:val="center"/>
        <w:rPr>
          <w:rFonts w:ascii="Times New Roman" w:hAnsi="Times New Roman"/>
          <w:b/>
          <w:kern w:val="0"/>
          <w:sz w:val="36"/>
          <w:szCs w:val="36"/>
        </w:rPr>
      </w:pPr>
      <w:r>
        <w:rPr>
          <w:rFonts w:ascii="Times New Roman" w:hAnsi="Times New Roman"/>
          <w:b/>
          <w:kern w:val="0"/>
          <w:sz w:val="36"/>
          <w:szCs w:val="36"/>
        </w:rPr>
        <w:t>华孚时尚股份有限公司</w:t>
      </w:r>
    </w:p>
    <w:p w14:paraId="74042A1B" w14:textId="77777777" w:rsidR="00F4326A" w:rsidRDefault="00347EBC">
      <w:pPr>
        <w:wordWrap w:val="0"/>
        <w:autoSpaceDE w:val="0"/>
        <w:autoSpaceDN w:val="0"/>
        <w:adjustRightInd w:val="0"/>
        <w:jc w:val="center"/>
        <w:rPr>
          <w:rFonts w:ascii="Times New Roman" w:hAnsi="Times New Roman"/>
          <w:b/>
          <w:kern w:val="0"/>
          <w:sz w:val="36"/>
          <w:szCs w:val="36"/>
        </w:rPr>
      </w:pPr>
      <w:r>
        <w:rPr>
          <w:rFonts w:ascii="Times New Roman" w:hAnsi="Times New Roman" w:hint="eastAsia"/>
          <w:b/>
          <w:kern w:val="0"/>
          <w:sz w:val="36"/>
          <w:szCs w:val="36"/>
        </w:rPr>
        <w:t>关于控股股东协议转让部分股份</w:t>
      </w:r>
    </w:p>
    <w:p w14:paraId="2C0486CF" w14:textId="77777777" w:rsidR="00F4326A" w:rsidRDefault="00347EBC">
      <w:pPr>
        <w:wordWrap w:val="0"/>
        <w:autoSpaceDE w:val="0"/>
        <w:autoSpaceDN w:val="0"/>
        <w:adjustRightInd w:val="0"/>
        <w:jc w:val="center"/>
        <w:rPr>
          <w:rFonts w:ascii="Times New Roman" w:eastAsia="楷体_GB2312" w:hAnsi="Times New Roman"/>
          <w:kern w:val="0"/>
          <w:sz w:val="24"/>
          <w:szCs w:val="24"/>
        </w:rPr>
      </w:pPr>
      <w:r>
        <w:rPr>
          <w:rFonts w:ascii="Times New Roman" w:hAnsi="Times New Roman" w:hint="eastAsia"/>
          <w:b/>
          <w:kern w:val="0"/>
          <w:sz w:val="36"/>
          <w:szCs w:val="36"/>
        </w:rPr>
        <w:t>过户完成的公告</w:t>
      </w:r>
    </w:p>
    <w:p w14:paraId="1642124E" w14:textId="77777777" w:rsidR="00F4326A" w:rsidRDefault="00347EBC">
      <w:pPr>
        <w:wordWrap w:val="0"/>
        <w:autoSpaceDE w:val="0"/>
        <w:autoSpaceDN w:val="0"/>
        <w:adjustRightInd w:val="0"/>
        <w:ind w:firstLineChars="200" w:firstLine="480"/>
        <w:jc w:val="left"/>
        <w:rPr>
          <w:rFonts w:ascii="楷体" w:eastAsia="楷体" w:hAnsi="楷体"/>
          <w:kern w:val="0"/>
          <w:sz w:val="24"/>
          <w:szCs w:val="24"/>
        </w:rPr>
      </w:pPr>
      <w:r>
        <w:rPr>
          <w:rFonts w:ascii="楷体" w:eastAsia="楷体" w:hAnsi="楷体"/>
          <w:kern w:val="0"/>
          <w:sz w:val="24"/>
          <w:szCs w:val="24"/>
        </w:rPr>
        <w:t>本公司及</w:t>
      </w:r>
      <w:r>
        <w:rPr>
          <w:rFonts w:ascii="楷体" w:eastAsia="楷体" w:hAnsi="楷体" w:hint="eastAsia"/>
          <w:kern w:val="0"/>
          <w:sz w:val="24"/>
          <w:szCs w:val="24"/>
        </w:rPr>
        <w:t>董</w:t>
      </w:r>
      <w:r>
        <w:rPr>
          <w:rFonts w:ascii="楷体" w:eastAsia="楷体" w:hAnsi="楷体"/>
          <w:kern w:val="0"/>
          <w:sz w:val="24"/>
          <w:szCs w:val="24"/>
        </w:rPr>
        <w:t>事会全体成员保证信息披露的内容真实、准确、完整，没有虚假记载、误导性陈述或重大遗漏。</w:t>
      </w:r>
    </w:p>
    <w:p w14:paraId="2B05E96D" w14:textId="77777777" w:rsidR="00F4326A" w:rsidRDefault="00F4326A">
      <w:pPr>
        <w:wordWrap w:val="0"/>
        <w:spacing w:line="280" w:lineRule="exact"/>
        <w:ind w:firstLineChars="196" w:firstLine="39"/>
        <w:rPr>
          <w:rFonts w:asciiTheme="minorEastAsia" w:eastAsiaTheme="minorEastAsia" w:hAnsiTheme="minorEastAsia"/>
          <w:kern w:val="0"/>
          <w:sz w:val="2"/>
          <w:szCs w:val="24"/>
        </w:rPr>
      </w:pPr>
    </w:p>
    <w:p w14:paraId="4328AA2B"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华孚时尚股份有限公司（以下简称“公司”）于</w:t>
      </w: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9</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19</w:t>
      </w:r>
      <w:r>
        <w:rPr>
          <w:rFonts w:asciiTheme="minorEastAsia" w:eastAsiaTheme="minorEastAsia" w:hAnsiTheme="minorEastAsia" w:hint="eastAsia"/>
          <w:kern w:val="0"/>
          <w:sz w:val="24"/>
          <w:szCs w:val="24"/>
        </w:rPr>
        <w:t>日收到控股股东华孚控股有限公司（以下简称“华孚控股”）的通知，华孚控股向</w:t>
      </w:r>
      <w:proofErr w:type="gramStart"/>
      <w:r>
        <w:rPr>
          <w:rFonts w:asciiTheme="minorEastAsia" w:eastAsiaTheme="minorEastAsia" w:hAnsiTheme="minorEastAsia" w:hint="eastAsia"/>
          <w:kern w:val="0"/>
          <w:sz w:val="24"/>
          <w:szCs w:val="24"/>
        </w:rPr>
        <w:t>杭州兴健私募</w:t>
      </w:r>
      <w:proofErr w:type="gramEnd"/>
      <w:r>
        <w:rPr>
          <w:rFonts w:asciiTheme="minorEastAsia" w:eastAsiaTheme="minorEastAsia" w:hAnsiTheme="minorEastAsia" w:hint="eastAsia"/>
          <w:kern w:val="0"/>
          <w:sz w:val="24"/>
          <w:szCs w:val="24"/>
        </w:rPr>
        <w:t>基金管理有限公司</w:t>
      </w:r>
      <w:r>
        <w:rPr>
          <w:rFonts w:asciiTheme="minorEastAsia" w:eastAsiaTheme="minorEastAsia" w:hAnsiTheme="minorEastAsia" w:hint="eastAsia"/>
          <w:kern w:val="0"/>
          <w:sz w:val="24"/>
          <w:szCs w:val="24"/>
        </w:rPr>
        <w:t>-</w:t>
      </w:r>
      <w:proofErr w:type="gramStart"/>
      <w:r>
        <w:rPr>
          <w:rFonts w:asciiTheme="minorEastAsia" w:eastAsiaTheme="minorEastAsia" w:hAnsiTheme="minorEastAsia" w:hint="eastAsia"/>
          <w:kern w:val="0"/>
          <w:sz w:val="24"/>
          <w:szCs w:val="24"/>
        </w:rPr>
        <w:t>兴健青龙</w:t>
      </w:r>
      <w:proofErr w:type="gramEnd"/>
      <w:r>
        <w:rPr>
          <w:rFonts w:asciiTheme="minorEastAsia" w:eastAsiaTheme="minorEastAsia" w:hAnsiTheme="minorEastAsia" w:hint="eastAsia"/>
          <w:kern w:val="0"/>
          <w:sz w:val="24"/>
          <w:szCs w:val="24"/>
        </w:rPr>
        <w:t>私募证券投资基金（以下简称“兴健青龙基金”）协议转让公司部分股份事项已在中国证券登记结算有限责任公司完成过户办理手续，并取得《证券过户登记确认书》，现将具体情况公告如下。</w:t>
      </w:r>
    </w:p>
    <w:p w14:paraId="17DEDDD2" w14:textId="77777777" w:rsidR="00F4326A" w:rsidRDefault="00347EBC">
      <w:pPr>
        <w:numPr>
          <w:ilvl w:val="0"/>
          <w:numId w:val="1"/>
        </w:numPr>
        <w:autoSpaceDE w:val="0"/>
        <w:autoSpaceDN w:val="0"/>
        <w:adjustRightInd w:val="0"/>
        <w:spacing w:line="360" w:lineRule="auto"/>
        <w:ind w:firstLineChars="200" w:firstLine="482"/>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本次协议转让的基本情况</w:t>
      </w:r>
    </w:p>
    <w:p w14:paraId="1AEDB643"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2024</w:t>
      </w:r>
      <w:r>
        <w:rPr>
          <w:rFonts w:asciiTheme="minorEastAsia" w:eastAsiaTheme="minorEastAsia" w:hAnsiTheme="minorEastAsia"/>
          <w:kern w:val="0"/>
          <w:sz w:val="24"/>
          <w:szCs w:val="24"/>
        </w:rPr>
        <w:t>年</w:t>
      </w:r>
      <w:r>
        <w:rPr>
          <w:rFonts w:asciiTheme="minorEastAsia" w:eastAsiaTheme="minorEastAsia" w:hAnsiTheme="minorEastAsia"/>
          <w:kern w:val="0"/>
          <w:sz w:val="24"/>
          <w:szCs w:val="24"/>
        </w:rPr>
        <w:t>9</w:t>
      </w:r>
      <w:r>
        <w:rPr>
          <w:rFonts w:asciiTheme="minorEastAsia" w:eastAsiaTheme="minorEastAsia" w:hAnsiTheme="minorEastAsia"/>
          <w:kern w:val="0"/>
          <w:sz w:val="24"/>
          <w:szCs w:val="24"/>
        </w:rPr>
        <w:t>月</w:t>
      </w:r>
      <w:r>
        <w:rPr>
          <w:rFonts w:asciiTheme="minorEastAsia" w:eastAsiaTheme="minorEastAsia" w:hAnsiTheme="minorEastAsia"/>
          <w:kern w:val="0"/>
          <w:sz w:val="24"/>
          <w:szCs w:val="24"/>
        </w:rPr>
        <w:t>27</w:t>
      </w:r>
      <w:r>
        <w:rPr>
          <w:rFonts w:asciiTheme="minorEastAsia" w:eastAsiaTheme="minorEastAsia" w:hAnsiTheme="minorEastAsia"/>
          <w:kern w:val="0"/>
          <w:sz w:val="24"/>
          <w:szCs w:val="24"/>
        </w:rPr>
        <w:t>日，华孚控股与</w:t>
      </w:r>
      <w:proofErr w:type="gramStart"/>
      <w:r>
        <w:rPr>
          <w:rFonts w:asciiTheme="minorEastAsia" w:eastAsiaTheme="minorEastAsia" w:hAnsiTheme="minorEastAsia" w:hint="eastAsia"/>
          <w:kern w:val="0"/>
          <w:sz w:val="24"/>
          <w:szCs w:val="24"/>
        </w:rPr>
        <w:t>杭州兴健私募</w:t>
      </w:r>
      <w:proofErr w:type="gramEnd"/>
      <w:r>
        <w:rPr>
          <w:rFonts w:asciiTheme="minorEastAsia" w:eastAsiaTheme="minorEastAsia" w:hAnsiTheme="minorEastAsia" w:hint="eastAsia"/>
          <w:kern w:val="0"/>
          <w:sz w:val="24"/>
          <w:szCs w:val="24"/>
        </w:rPr>
        <w:t>基金管理有限公司</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代表“</w:t>
      </w:r>
      <w:r>
        <w:rPr>
          <w:rFonts w:asciiTheme="minorEastAsia" w:eastAsiaTheme="minorEastAsia" w:hAnsiTheme="minorEastAsia" w:hint="eastAsia"/>
          <w:kern w:val="0"/>
          <w:sz w:val="24"/>
          <w:szCs w:val="24"/>
        </w:rPr>
        <w:t>兴健青龙私募证券投资基金</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签署《股份转让协议》，华孚控股拟通过协议转让方式将其持有的公司</w:t>
      </w:r>
      <w:r>
        <w:rPr>
          <w:rFonts w:asciiTheme="minorEastAsia" w:eastAsiaTheme="minorEastAsia" w:hAnsiTheme="minorEastAsia"/>
          <w:kern w:val="0"/>
          <w:sz w:val="24"/>
          <w:szCs w:val="24"/>
        </w:rPr>
        <w:t>100,340,200</w:t>
      </w:r>
      <w:r>
        <w:rPr>
          <w:rFonts w:asciiTheme="minorEastAsia" w:eastAsiaTheme="minorEastAsia" w:hAnsiTheme="minorEastAsia"/>
          <w:kern w:val="0"/>
          <w:sz w:val="24"/>
          <w:szCs w:val="24"/>
        </w:rPr>
        <w:t>股无限</w:t>
      </w:r>
      <w:proofErr w:type="gramStart"/>
      <w:r>
        <w:rPr>
          <w:rFonts w:asciiTheme="minorEastAsia" w:eastAsiaTheme="minorEastAsia" w:hAnsiTheme="minorEastAsia"/>
          <w:kern w:val="0"/>
          <w:sz w:val="24"/>
          <w:szCs w:val="24"/>
        </w:rPr>
        <w:t>售流通</w:t>
      </w:r>
      <w:proofErr w:type="gramEnd"/>
      <w:r>
        <w:rPr>
          <w:rFonts w:asciiTheme="minorEastAsia" w:eastAsiaTheme="minorEastAsia" w:hAnsiTheme="minorEastAsia"/>
          <w:kern w:val="0"/>
          <w:sz w:val="24"/>
          <w:szCs w:val="24"/>
        </w:rPr>
        <w:t>股份（占公司总股本的</w:t>
      </w:r>
      <w:r>
        <w:rPr>
          <w:rFonts w:asciiTheme="minorEastAsia" w:eastAsiaTheme="minorEastAsia" w:hAnsiTheme="minorEastAsia"/>
          <w:kern w:val="0"/>
          <w:sz w:val="24"/>
          <w:szCs w:val="24"/>
        </w:rPr>
        <w:t>5.90%</w:t>
      </w:r>
      <w:r>
        <w:rPr>
          <w:rFonts w:asciiTheme="minorEastAsia" w:eastAsiaTheme="minorEastAsia" w:hAnsiTheme="minorEastAsia"/>
          <w:kern w:val="0"/>
          <w:sz w:val="24"/>
          <w:szCs w:val="24"/>
        </w:rPr>
        <w:t>）以</w:t>
      </w:r>
      <w:r>
        <w:rPr>
          <w:rFonts w:asciiTheme="minorEastAsia" w:eastAsiaTheme="minorEastAsia" w:hAnsiTheme="minorEastAsia"/>
          <w:kern w:val="0"/>
          <w:sz w:val="24"/>
          <w:szCs w:val="24"/>
        </w:rPr>
        <w:t>3.42</w:t>
      </w:r>
      <w:r>
        <w:rPr>
          <w:rFonts w:asciiTheme="minorEastAsia" w:eastAsiaTheme="minorEastAsia" w:hAnsiTheme="minorEastAsia"/>
          <w:kern w:val="0"/>
          <w:sz w:val="24"/>
          <w:szCs w:val="24"/>
        </w:rPr>
        <w:t>元</w:t>
      </w:r>
      <w:r>
        <w:rPr>
          <w:rFonts w:asciiTheme="minorEastAsia" w:eastAsiaTheme="minorEastAsia" w:hAnsiTheme="minorEastAsia"/>
          <w:kern w:val="0"/>
          <w:sz w:val="24"/>
          <w:szCs w:val="24"/>
        </w:rPr>
        <w:t>/</w:t>
      </w:r>
      <w:r>
        <w:rPr>
          <w:rFonts w:asciiTheme="minorEastAsia" w:eastAsiaTheme="minorEastAsia" w:hAnsiTheme="minorEastAsia"/>
          <w:kern w:val="0"/>
          <w:sz w:val="24"/>
          <w:szCs w:val="24"/>
        </w:rPr>
        <w:t>股的价格转让</w:t>
      </w:r>
      <w:proofErr w:type="gramStart"/>
      <w:r>
        <w:rPr>
          <w:rFonts w:asciiTheme="minorEastAsia" w:eastAsiaTheme="minorEastAsia" w:hAnsiTheme="minorEastAsia"/>
          <w:kern w:val="0"/>
          <w:sz w:val="24"/>
          <w:szCs w:val="24"/>
        </w:rPr>
        <w:t>给兴健青龙</w:t>
      </w:r>
      <w:proofErr w:type="gramEnd"/>
      <w:r>
        <w:rPr>
          <w:rFonts w:asciiTheme="minorEastAsia" w:eastAsiaTheme="minorEastAsia" w:hAnsiTheme="minorEastAsia"/>
          <w:kern w:val="0"/>
          <w:sz w:val="24"/>
          <w:szCs w:val="24"/>
        </w:rPr>
        <w:t>基金，转让价款为</w:t>
      </w:r>
      <w:r>
        <w:rPr>
          <w:rFonts w:asciiTheme="minorEastAsia" w:eastAsiaTheme="minorEastAsia" w:hAnsiTheme="minorEastAsia"/>
          <w:kern w:val="0"/>
          <w:sz w:val="24"/>
          <w:szCs w:val="24"/>
        </w:rPr>
        <w:t>343,163,484</w:t>
      </w:r>
      <w:r>
        <w:rPr>
          <w:rFonts w:asciiTheme="minorEastAsia" w:eastAsiaTheme="minorEastAsia" w:hAnsiTheme="minorEastAsia"/>
          <w:kern w:val="0"/>
          <w:sz w:val="24"/>
          <w:szCs w:val="24"/>
        </w:rPr>
        <w:t>元人民币。</w:t>
      </w:r>
    </w:p>
    <w:p w14:paraId="563BDC97"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2024</w:t>
      </w:r>
      <w:r>
        <w:rPr>
          <w:rFonts w:asciiTheme="minorEastAsia" w:eastAsiaTheme="minorEastAsia" w:hAnsiTheme="minorEastAsia"/>
          <w:kern w:val="0"/>
          <w:sz w:val="24"/>
          <w:szCs w:val="24"/>
        </w:rPr>
        <w:t>年</w:t>
      </w:r>
      <w:r>
        <w:rPr>
          <w:rFonts w:asciiTheme="minorEastAsia" w:eastAsiaTheme="minorEastAsia" w:hAnsiTheme="minorEastAsia"/>
          <w:kern w:val="0"/>
          <w:sz w:val="24"/>
          <w:szCs w:val="24"/>
        </w:rPr>
        <w:t>11</w:t>
      </w:r>
      <w:r>
        <w:rPr>
          <w:rFonts w:asciiTheme="minorEastAsia" w:eastAsiaTheme="minorEastAsia" w:hAnsiTheme="minorEastAsia"/>
          <w:kern w:val="0"/>
          <w:sz w:val="24"/>
          <w:szCs w:val="24"/>
        </w:rPr>
        <w:t>月</w:t>
      </w:r>
      <w:r>
        <w:rPr>
          <w:rFonts w:asciiTheme="minorEastAsia" w:eastAsiaTheme="minorEastAsia" w:hAnsiTheme="minorEastAsia"/>
          <w:kern w:val="0"/>
          <w:sz w:val="24"/>
          <w:szCs w:val="24"/>
        </w:rPr>
        <w:t>12</w:t>
      </w:r>
      <w:r>
        <w:rPr>
          <w:rFonts w:asciiTheme="minorEastAsia" w:eastAsiaTheme="minorEastAsia" w:hAnsiTheme="minorEastAsia"/>
          <w:kern w:val="0"/>
          <w:sz w:val="24"/>
          <w:szCs w:val="24"/>
        </w:rPr>
        <w:t>日，华孚控股与</w:t>
      </w:r>
      <w:proofErr w:type="gramStart"/>
      <w:r>
        <w:rPr>
          <w:rFonts w:asciiTheme="minorEastAsia" w:eastAsiaTheme="minorEastAsia" w:hAnsiTheme="minorEastAsia" w:hint="eastAsia"/>
          <w:kern w:val="0"/>
          <w:sz w:val="24"/>
          <w:szCs w:val="24"/>
        </w:rPr>
        <w:t>杭州兴健私募</w:t>
      </w:r>
      <w:proofErr w:type="gramEnd"/>
      <w:r>
        <w:rPr>
          <w:rFonts w:asciiTheme="minorEastAsia" w:eastAsiaTheme="minorEastAsia" w:hAnsiTheme="minorEastAsia" w:hint="eastAsia"/>
          <w:kern w:val="0"/>
          <w:sz w:val="24"/>
          <w:szCs w:val="24"/>
        </w:rPr>
        <w:t>基金管理有限公司</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代表“</w:t>
      </w:r>
      <w:r>
        <w:rPr>
          <w:rFonts w:asciiTheme="minorEastAsia" w:eastAsiaTheme="minorEastAsia" w:hAnsiTheme="minorEastAsia" w:hint="eastAsia"/>
          <w:kern w:val="0"/>
          <w:sz w:val="24"/>
          <w:szCs w:val="24"/>
        </w:rPr>
        <w:t>兴健青龙私募证券投资基金</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签署了《股份转让协议补充协议》</w:t>
      </w:r>
      <w:r>
        <w:rPr>
          <w:rFonts w:asciiTheme="minorEastAsia" w:eastAsiaTheme="minorEastAsia" w:hAnsiTheme="minorEastAsia" w:hint="eastAsia"/>
          <w:kern w:val="0"/>
          <w:sz w:val="24"/>
          <w:szCs w:val="24"/>
        </w:rPr>
        <w:t>，对《股份转让协议》的原“付款与股份过户”条款进行变更。</w:t>
      </w:r>
    </w:p>
    <w:p w14:paraId="3E9918D2"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8</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14</w:t>
      </w:r>
      <w:r>
        <w:rPr>
          <w:rFonts w:asciiTheme="minorEastAsia" w:eastAsiaTheme="minorEastAsia" w:hAnsiTheme="minorEastAsia" w:hint="eastAsia"/>
          <w:kern w:val="0"/>
          <w:sz w:val="24"/>
          <w:szCs w:val="24"/>
        </w:rPr>
        <w:t>日，公司收到</w:t>
      </w:r>
      <w:proofErr w:type="gramStart"/>
      <w:r>
        <w:rPr>
          <w:rFonts w:asciiTheme="minorEastAsia" w:eastAsiaTheme="minorEastAsia" w:hAnsiTheme="minorEastAsia" w:hint="eastAsia"/>
          <w:kern w:val="0"/>
          <w:sz w:val="24"/>
          <w:szCs w:val="24"/>
        </w:rPr>
        <w:t>杭州兴健私募</w:t>
      </w:r>
      <w:proofErr w:type="gramEnd"/>
      <w:r>
        <w:rPr>
          <w:rFonts w:asciiTheme="minorEastAsia" w:eastAsiaTheme="minorEastAsia" w:hAnsiTheme="minorEastAsia" w:hint="eastAsia"/>
          <w:kern w:val="0"/>
          <w:sz w:val="24"/>
          <w:szCs w:val="24"/>
        </w:rPr>
        <w:t>基金管理有限公司</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代表“</w:t>
      </w:r>
      <w:r>
        <w:rPr>
          <w:rFonts w:asciiTheme="minorEastAsia" w:eastAsiaTheme="minorEastAsia" w:hAnsiTheme="minorEastAsia" w:hint="eastAsia"/>
          <w:kern w:val="0"/>
          <w:sz w:val="24"/>
          <w:szCs w:val="24"/>
        </w:rPr>
        <w:t>兴健青龙私募证券投资基金</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出具的《股份限售承</w:t>
      </w:r>
      <w:r>
        <w:rPr>
          <w:rFonts w:asciiTheme="minorEastAsia" w:eastAsiaTheme="minorEastAsia" w:hAnsiTheme="minorEastAsia" w:hint="eastAsia"/>
          <w:kern w:val="0"/>
          <w:sz w:val="24"/>
          <w:szCs w:val="24"/>
        </w:rPr>
        <w:t>诺书》，</w:t>
      </w:r>
      <w:proofErr w:type="gramStart"/>
      <w:r>
        <w:rPr>
          <w:rFonts w:asciiTheme="minorEastAsia" w:eastAsiaTheme="minorEastAsia" w:hAnsiTheme="minorEastAsia" w:hint="eastAsia"/>
          <w:kern w:val="0"/>
          <w:sz w:val="24"/>
          <w:szCs w:val="24"/>
        </w:rPr>
        <w:t>兴健青龙</w:t>
      </w:r>
      <w:proofErr w:type="gramEnd"/>
      <w:r>
        <w:rPr>
          <w:rFonts w:asciiTheme="minorEastAsia" w:eastAsiaTheme="minorEastAsia" w:hAnsiTheme="minorEastAsia" w:hint="eastAsia"/>
          <w:kern w:val="0"/>
          <w:sz w:val="24"/>
          <w:szCs w:val="24"/>
        </w:rPr>
        <w:t>基金自愿</w:t>
      </w:r>
      <w:proofErr w:type="gramStart"/>
      <w:r>
        <w:rPr>
          <w:rFonts w:asciiTheme="minorEastAsia" w:eastAsiaTheme="minorEastAsia" w:hAnsiTheme="minorEastAsia" w:hint="eastAsia"/>
          <w:kern w:val="0"/>
          <w:sz w:val="24"/>
          <w:szCs w:val="24"/>
        </w:rPr>
        <w:t>作出</w:t>
      </w:r>
      <w:proofErr w:type="gramEnd"/>
      <w:r>
        <w:rPr>
          <w:rFonts w:asciiTheme="minorEastAsia" w:eastAsiaTheme="minorEastAsia" w:hAnsiTheme="minorEastAsia" w:hint="eastAsia"/>
          <w:kern w:val="0"/>
          <w:sz w:val="24"/>
          <w:szCs w:val="24"/>
        </w:rPr>
        <w:t>自本次协议转让标的股份过户完成之日起</w:t>
      </w:r>
      <w:r>
        <w:rPr>
          <w:rFonts w:asciiTheme="minorEastAsia" w:eastAsiaTheme="minorEastAsia" w:hAnsiTheme="minorEastAsia" w:hint="eastAsia"/>
          <w:kern w:val="0"/>
          <w:sz w:val="24"/>
          <w:szCs w:val="24"/>
        </w:rPr>
        <w:t>12</w:t>
      </w:r>
      <w:r>
        <w:rPr>
          <w:rFonts w:asciiTheme="minorEastAsia" w:eastAsiaTheme="minorEastAsia" w:hAnsiTheme="minorEastAsia" w:hint="eastAsia"/>
          <w:kern w:val="0"/>
          <w:sz w:val="24"/>
          <w:szCs w:val="24"/>
        </w:rPr>
        <w:t>个月以内不以任何方式减持所持华孚时尚股份有限公司股份的承诺。</w:t>
      </w:r>
    </w:p>
    <w:p w14:paraId="6B69DE82"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具体详见公司分别于</w:t>
      </w:r>
      <w:r>
        <w:rPr>
          <w:rFonts w:asciiTheme="minorEastAsia" w:eastAsiaTheme="minorEastAsia" w:hAnsiTheme="minorEastAsia" w:hint="eastAsia"/>
          <w:kern w:val="0"/>
          <w:sz w:val="24"/>
          <w:szCs w:val="24"/>
        </w:rPr>
        <w:t>2024</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9</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28</w:t>
      </w:r>
      <w:r>
        <w:rPr>
          <w:rFonts w:asciiTheme="minorEastAsia" w:eastAsiaTheme="minorEastAsia" w:hAnsiTheme="minorEastAsia" w:hint="eastAsia"/>
          <w:kern w:val="0"/>
          <w:sz w:val="24"/>
          <w:szCs w:val="24"/>
        </w:rPr>
        <w:t>日、</w:t>
      </w:r>
      <w:r>
        <w:rPr>
          <w:rFonts w:asciiTheme="minorEastAsia" w:eastAsiaTheme="minorEastAsia" w:hAnsiTheme="minorEastAsia" w:hint="eastAsia"/>
          <w:kern w:val="0"/>
          <w:sz w:val="24"/>
          <w:szCs w:val="24"/>
        </w:rPr>
        <w:t>2024</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11</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14</w:t>
      </w:r>
      <w:r>
        <w:rPr>
          <w:rFonts w:asciiTheme="minorEastAsia" w:eastAsiaTheme="minorEastAsia" w:hAnsiTheme="minorEastAsia" w:hint="eastAsia"/>
          <w:kern w:val="0"/>
          <w:sz w:val="24"/>
          <w:szCs w:val="24"/>
        </w:rPr>
        <w:t>日、</w:t>
      </w: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8</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15</w:t>
      </w:r>
      <w:r>
        <w:rPr>
          <w:rFonts w:asciiTheme="minorEastAsia" w:eastAsiaTheme="minorEastAsia" w:hAnsiTheme="minorEastAsia" w:hint="eastAsia"/>
          <w:kern w:val="0"/>
          <w:sz w:val="24"/>
          <w:szCs w:val="24"/>
        </w:rPr>
        <w:t>日于《证券时报》、《中国证券报》及巨潮资讯网（</w:t>
      </w:r>
      <w:r>
        <w:rPr>
          <w:rFonts w:asciiTheme="minorEastAsia" w:eastAsiaTheme="minorEastAsia" w:hAnsiTheme="minorEastAsia" w:hint="eastAsia"/>
          <w:kern w:val="0"/>
          <w:sz w:val="24"/>
          <w:szCs w:val="24"/>
        </w:rPr>
        <w:t>www.cninfo.com.cn</w:t>
      </w:r>
      <w:r>
        <w:rPr>
          <w:rFonts w:asciiTheme="minorEastAsia" w:eastAsiaTheme="minorEastAsia" w:hAnsiTheme="minorEastAsia" w:hint="eastAsia"/>
          <w:kern w:val="0"/>
          <w:sz w:val="24"/>
          <w:szCs w:val="24"/>
        </w:rPr>
        <w:t>）披露的《关于控股股东拟协议转让部分股份暨权益变动的提示性公告》（</w:t>
      </w:r>
      <w:r>
        <w:rPr>
          <w:rFonts w:asciiTheme="minorEastAsia" w:eastAsiaTheme="minorEastAsia" w:hAnsiTheme="minorEastAsia" w:hint="eastAsia"/>
          <w:kern w:val="0"/>
          <w:sz w:val="24"/>
          <w:szCs w:val="24"/>
        </w:rPr>
        <w:t>2024-51</w:t>
      </w:r>
      <w:r>
        <w:rPr>
          <w:rFonts w:asciiTheme="minorEastAsia" w:eastAsiaTheme="minorEastAsia" w:hAnsiTheme="minorEastAsia" w:hint="eastAsia"/>
          <w:kern w:val="0"/>
          <w:sz w:val="24"/>
          <w:szCs w:val="24"/>
        </w:rPr>
        <w:t>）、《关于控股股东协议转让部分股份进展的公告》（</w:t>
      </w:r>
      <w:r>
        <w:rPr>
          <w:rFonts w:asciiTheme="minorEastAsia" w:eastAsiaTheme="minorEastAsia" w:hAnsiTheme="minorEastAsia" w:hint="eastAsia"/>
          <w:kern w:val="0"/>
          <w:sz w:val="24"/>
          <w:szCs w:val="24"/>
        </w:rPr>
        <w:t>2024-58</w:t>
      </w:r>
      <w:r>
        <w:rPr>
          <w:rFonts w:asciiTheme="minorEastAsia" w:eastAsiaTheme="minorEastAsia" w:hAnsiTheme="minorEastAsia" w:hint="eastAsia"/>
          <w:kern w:val="0"/>
          <w:sz w:val="24"/>
          <w:szCs w:val="24"/>
        </w:rPr>
        <w:t>）、</w:t>
      </w:r>
      <w:proofErr w:type="gramStart"/>
      <w:r>
        <w:rPr>
          <w:rFonts w:asciiTheme="minorEastAsia" w:eastAsiaTheme="minorEastAsia" w:hAnsiTheme="minorEastAsia" w:hint="eastAsia"/>
          <w:kern w:val="0"/>
          <w:sz w:val="24"/>
          <w:szCs w:val="24"/>
        </w:rPr>
        <w:t>《</w:t>
      </w:r>
      <w:proofErr w:type="gramEnd"/>
      <w:r>
        <w:rPr>
          <w:rFonts w:asciiTheme="minorEastAsia" w:eastAsiaTheme="minorEastAsia" w:hAnsiTheme="minorEastAsia" w:hint="eastAsia"/>
          <w:kern w:val="0"/>
          <w:sz w:val="24"/>
          <w:szCs w:val="24"/>
        </w:rPr>
        <w:t>关于控股股东协议转</w:t>
      </w:r>
      <w:r>
        <w:rPr>
          <w:rFonts w:asciiTheme="minorEastAsia" w:eastAsiaTheme="minorEastAsia" w:hAnsiTheme="minorEastAsia" w:hint="eastAsia"/>
          <w:kern w:val="0"/>
          <w:sz w:val="24"/>
          <w:szCs w:val="24"/>
        </w:rPr>
        <w:lastRenderedPageBreak/>
        <w:t>让部分股份进展的公告）（</w:t>
      </w:r>
      <w:r>
        <w:rPr>
          <w:rFonts w:asciiTheme="minorEastAsia" w:eastAsiaTheme="minorEastAsia" w:hAnsiTheme="minorEastAsia" w:hint="eastAsia"/>
          <w:kern w:val="0"/>
          <w:sz w:val="24"/>
          <w:szCs w:val="24"/>
        </w:rPr>
        <w:t>2025-39</w:t>
      </w:r>
      <w:r>
        <w:rPr>
          <w:rFonts w:asciiTheme="minorEastAsia" w:eastAsiaTheme="minorEastAsia" w:hAnsiTheme="minorEastAsia" w:hint="eastAsia"/>
          <w:kern w:val="0"/>
          <w:sz w:val="24"/>
          <w:szCs w:val="24"/>
        </w:rPr>
        <w:t>）。</w:t>
      </w:r>
    </w:p>
    <w:p w14:paraId="67BD50BE" w14:textId="77777777" w:rsidR="00F4326A" w:rsidRDefault="00347EBC">
      <w:pPr>
        <w:numPr>
          <w:ilvl w:val="0"/>
          <w:numId w:val="1"/>
        </w:numPr>
        <w:autoSpaceDE w:val="0"/>
        <w:autoSpaceDN w:val="0"/>
        <w:adjustRightInd w:val="0"/>
        <w:spacing w:line="360" w:lineRule="auto"/>
        <w:ind w:firstLineChars="200" w:firstLine="482"/>
        <w:rPr>
          <w:rFonts w:asciiTheme="minorEastAsia" w:eastAsiaTheme="minorEastAsia" w:hAnsiTheme="minorEastAsia"/>
          <w:b/>
          <w:bCs/>
          <w:kern w:val="0"/>
          <w:sz w:val="24"/>
          <w:szCs w:val="24"/>
        </w:rPr>
      </w:pPr>
      <w:r>
        <w:rPr>
          <w:rFonts w:asciiTheme="minorEastAsia" w:eastAsiaTheme="minorEastAsia" w:hAnsiTheme="minorEastAsia" w:hint="eastAsia"/>
          <w:b/>
          <w:bCs/>
          <w:kern w:val="0"/>
          <w:sz w:val="24"/>
          <w:szCs w:val="24"/>
        </w:rPr>
        <w:t>股份过户登</w:t>
      </w:r>
      <w:r>
        <w:rPr>
          <w:rFonts w:asciiTheme="minorEastAsia" w:eastAsiaTheme="minorEastAsia" w:hAnsiTheme="minorEastAsia" w:hint="eastAsia"/>
          <w:b/>
          <w:bCs/>
          <w:kern w:val="0"/>
          <w:sz w:val="24"/>
          <w:szCs w:val="24"/>
        </w:rPr>
        <w:t>记情况</w:t>
      </w:r>
    </w:p>
    <w:p w14:paraId="330ADDD3"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公司</w:t>
      </w:r>
      <w:r>
        <w:rPr>
          <w:rFonts w:asciiTheme="minorEastAsia" w:eastAsiaTheme="minorEastAsia" w:hAnsiTheme="minorEastAsia" w:hint="eastAsia"/>
          <w:kern w:val="0"/>
          <w:sz w:val="24"/>
          <w:szCs w:val="24"/>
        </w:rPr>
        <w:t>于</w:t>
      </w: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9</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19</w:t>
      </w:r>
      <w:r>
        <w:rPr>
          <w:rFonts w:asciiTheme="minorEastAsia" w:eastAsiaTheme="minorEastAsia" w:hAnsiTheme="minorEastAsia" w:hint="eastAsia"/>
          <w:kern w:val="0"/>
          <w:sz w:val="24"/>
          <w:szCs w:val="24"/>
        </w:rPr>
        <w:t>日</w:t>
      </w:r>
      <w:r>
        <w:rPr>
          <w:rFonts w:asciiTheme="minorEastAsia" w:eastAsiaTheme="minorEastAsia" w:hAnsiTheme="minorEastAsia"/>
          <w:kern w:val="0"/>
          <w:sz w:val="24"/>
          <w:szCs w:val="24"/>
        </w:rPr>
        <w:t>收到</w:t>
      </w:r>
      <w:r>
        <w:rPr>
          <w:rFonts w:asciiTheme="minorEastAsia" w:eastAsiaTheme="minorEastAsia" w:hAnsiTheme="minorEastAsia" w:hint="eastAsia"/>
          <w:kern w:val="0"/>
          <w:sz w:val="24"/>
          <w:szCs w:val="24"/>
        </w:rPr>
        <w:t>华孚控股</w:t>
      </w:r>
      <w:r>
        <w:rPr>
          <w:rFonts w:asciiTheme="minorEastAsia" w:eastAsiaTheme="minorEastAsia" w:hAnsiTheme="minorEastAsia"/>
          <w:kern w:val="0"/>
          <w:sz w:val="24"/>
          <w:szCs w:val="24"/>
        </w:rPr>
        <w:t>提供的由中国证券登记结算有限责任公司</w:t>
      </w:r>
      <w:r>
        <w:rPr>
          <w:rFonts w:asciiTheme="minorEastAsia" w:eastAsiaTheme="minorEastAsia" w:hAnsiTheme="minorEastAsia" w:hint="eastAsia"/>
          <w:kern w:val="0"/>
          <w:sz w:val="24"/>
          <w:szCs w:val="24"/>
        </w:rPr>
        <w:t>深圳</w:t>
      </w:r>
      <w:r>
        <w:rPr>
          <w:rFonts w:asciiTheme="minorEastAsia" w:eastAsiaTheme="minorEastAsia" w:hAnsiTheme="minorEastAsia"/>
          <w:kern w:val="0"/>
          <w:sz w:val="24"/>
          <w:szCs w:val="24"/>
        </w:rPr>
        <w:t>分公司出具的《证券过户登记确认书》，上述协议转让股份</w:t>
      </w:r>
      <w:r>
        <w:rPr>
          <w:rFonts w:asciiTheme="minorEastAsia" w:eastAsiaTheme="minorEastAsia" w:hAnsiTheme="minorEastAsia" w:hint="eastAsia"/>
          <w:kern w:val="0"/>
          <w:sz w:val="24"/>
          <w:szCs w:val="24"/>
        </w:rPr>
        <w:t>事项</w:t>
      </w:r>
      <w:r>
        <w:rPr>
          <w:rFonts w:asciiTheme="minorEastAsia" w:eastAsiaTheme="minorEastAsia" w:hAnsiTheme="minorEastAsia"/>
          <w:kern w:val="0"/>
          <w:sz w:val="24"/>
          <w:szCs w:val="24"/>
        </w:rPr>
        <w:t>已办理完成过户登记手续</w:t>
      </w:r>
      <w:r>
        <w:rPr>
          <w:rFonts w:asciiTheme="minorEastAsia" w:eastAsiaTheme="minorEastAsia" w:hAnsiTheme="minorEastAsia" w:hint="eastAsia"/>
          <w:kern w:val="0"/>
          <w:sz w:val="24"/>
          <w:szCs w:val="24"/>
        </w:rPr>
        <w:t>。股份过户日期为</w:t>
      </w:r>
      <w:r>
        <w:rPr>
          <w:rFonts w:asciiTheme="minorEastAsia" w:eastAsiaTheme="minorEastAsia" w:hAnsiTheme="minorEastAsia" w:hint="eastAsia"/>
          <w:kern w:val="0"/>
          <w:sz w:val="24"/>
          <w:szCs w:val="24"/>
        </w:rPr>
        <w:t>2025</w:t>
      </w:r>
      <w:r>
        <w:rPr>
          <w:rFonts w:asciiTheme="minorEastAsia" w:eastAsiaTheme="minorEastAsia" w:hAnsiTheme="minorEastAsia" w:hint="eastAsia"/>
          <w:kern w:val="0"/>
          <w:sz w:val="24"/>
          <w:szCs w:val="24"/>
        </w:rPr>
        <w:t>年</w:t>
      </w:r>
      <w:r>
        <w:rPr>
          <w:rFonts w:asciiTheme="minorEastAsia" w:eastAsiaTheme="minorEastAsia" w:hAnsiTheme="minorEastAsia" w:hint="eastAsia"/>
          <w:kern w:val="0"/>
          <w:sz w:val="24"/>
          <w:szCs w:val="24"/>
        </w:rPr>
        <w:t>9</w:t>
      </w:r>
      <w:r>
        <w:rPr>
          <w:rFonts w:asciiTheme="minorEastAsia" w:eastAsiaTheme="minorEastAsia" w:hAnsiTheme="minorEastAsia" w:hint="eastAsia"/>
          <w:kern w:val="0"/>
          <w:sz w:val="24"/>
          <w:szCs w:val="24"/>
        </w:rPr>
        <w:t>月</w:t>
      </w:r>
      <w:r>
        <w:rPr>
          <w:rFonts w:asciiTheme="minorEastAsia" w:eastAsiaTheme="minorEastAsia" w:hAnsiTheme="minorEastAsia" w:hint="eastAsia"/>
          <w:kern w:val="0"/>
          <w:sz w:val="24"/>
          <w:szCs w:val="24"/>
        </w:rPr>
        <w:t>18</w:t>
      </w:r>
      <w:r>
        <w:rPr>
          <w:rFonts w:asciiTheme="minorEastAsia" w:eastAsiaTheme="minorEastAsia" w:hAnsiTheme="minorEastAsia" w:hint="eastAsia"/>
          <w:kern w:val="0"/>
          <w:sz w:val="24"/>
          <w:szCs w:val="24"/>
        </w:rPr>
        <w:t>日</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本次协议转让办理情况与前期披露、协议约定安排一致。</w:t>
      </w:r>
    </w:p>
    <w:p w14:paraId="79D7E241" w14:textId="77777777" w:rsidR="00F4326A" w:rsidRDefault="00347EBC">
      <w:p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本次过户前后，双方持股变动情况如下：</w:t>
      </w:r>
    </w:p>
    <w:tbl>
      <w:tblPr>
        <w:tblStyle w:val="a8"/>
        <w:tblW w:w="8086" w:type="dxa"/>
        <w:jc w:val="center"/>
        <w:tblLook w:val="04A0" w:firstRow="1" w:lastRow="0" w:firstColumn="1" w:lastColumn="0" w:noHBand="0" w:noVBand="1"/>
      </w:tblPr>
      <w:tblGrid>
        <w:gridCol w:w="1900"/>
        <w:gridCol w:w="1650"/>
        <w:gridCol w:w="1417"/>
        <w:gridCol w:w="1559"/>
        <w:gridCol w:w="1560"/>
      </w:tblGrid>
      <w:tr w:rsidR="00F4326A" w14:paraId="2A21E570" w14:textId="77777777">
        <w:trPr>
          <w:jc w:val="center"/>
        </w:trPr>
        <w:tc>
          <w:tcPr>
            <w:tcW w:w="1900" w:type="dxa"/>
            <w:vMerge w:val="restart"/>
            <w:vAlign w:val="center"/>
          </w:tcPr>
          <w:p w14:paraId="1768A8E6" w14:textId="77777777" w:rsidR="00F4326A" w:rsidRDefault="00347EBC">
            <w:pPr>
              <w:jc w:val="center"/>
              <w:rPr>
                <w:rFonts w:ascii="宋体" w:hAnsi="宋体" w:cs="宋体"/>
                <w:b/>
                <w:bCs/>
                <w:szCs w:val="21"/>
              </w:rPr>
            </w:pPr>
            <w:r>
              <w:rPr>
                <w:rFonts w:ascii="宋体" w:hAnsi="宋体" w:cs="宋体" w:hint="eastAsia"/>
                <w:b/>
                <w:bCs/>
                <w:szCs w:val="21"/>
              </w:rPr>
              <w:t>股东名称</w:t>
            </w:r>
          </w:p>
        </w:tc>
        <w:tc>
          <w:tcPr>
            <w:tcW w:w="3067" w:type="dxa"/>
            <w:gridSpan w:val="2"/>
            <w:vAlign w:val="center"/>
          </w:tcPr>
          <w:p w14:paraId="16F4E028" w14:textId="77777777" w:rsidR="00F4326A" w:rsidRDefault="00347EBC">
            <w:pPr>
              <w:jc w:val="center"/>
              <w:rPr>
                <w:rFonts w:ascii="宋体" w:hAnsi="宋体" w:cs="宋体"/>
                <w:b/>
                <w:bCs/>
                <w:szCs w:val="21"/>
              </w:rPr>
            </w:pPr>
            <w:r>
              <w:rPr>
                <w:rFonts w:ascii="宋体" w:hAnsi="宋体" w:cs="宋体" w:hint="eastAsia"/>
                <w:b/>
                <w:bCs/>
                <w:szCs w:val="21"/>
              </w:rPr>
              <w:t>本次权益变动前</w:t>
            </w:r>
          </w:p>
        </w:tc>
        <w:tc>
          <w:tcPr>
            <w:tcW w:w="3119" w:type="dxa"/>
            <w:gridSpan w:val="2"/>
            <w:vAlign w:val="center"/>
          </w:tcPr>
          <w:p w14:paraId="2BC85ADC" w14:textId="77777777" w:rsidR="00F4326A" w:rsidRDefault="00347EBC">
            <w:pPr>
              <w:jc w:val="center"/>
              <w:rPr>
                <w:rFonts w:ascii="宋体" w:hAnsi="宋体" w:cs="宋体"/>
                <w:b/>
                <w:bCs/>
                <w:szCs w:val="21"/>
              </w:rPr>
            </w:pPr>
            <w:r>
              <w:rPr>
                <w:rFonts w:ascii="宋体" w:hAnsi="宋体" w:cs="宋体" w:hint="eastAsia"/>
                <w:b/>
                <w:bCs/>
                <w:szCs w:val="21"/>
              </w:rPr>
              <w:t>本次权益变动后</w:t>
            </w:r>
          </w:p>
        </w:tc>
      </w:tr>
      <w:tr w:rsidR="00F4326A" w14:paraId="4EFB31D9" w14:textId="77777777">
        <w:trPr>
          <w:jc w:val="center"/>
        </w:trPr>
        <w:tc>
          <w:tcPr>
            <w:tcW w:w="1900" w:type="dxa"/>
            <w:vMerge/>
            <w:vAlign w:val="center"/>
          </w:tcPr>
          <w:p w14:paraId="2924B425" w14:textId="77777777" w:rsidR="00F4326A" w:rsidRDefault="00F4326A">
            <w:pPr>
              <w:jc w:val="center"/>
              <w:rPr>
                <w:rFonts w:ascii="宋体" w:hAnsi="宋体" w:cs="宋体"/>
                <w:b/>
                <w:bCs/>
                <w:szCs w:val="21"/>
              </w:rPr>
            </w:pPr>
          </w:p>
        </w:tc>
        <w:tc>
          <w:tcPr>
            <w:tcW w:w="1650" w:type="dxa"/>
            <w:vAlign w:val="center"/>
          </w:tcPr>
          <w:p w14:paraId="538DA8DF" w14:textId="77777777" w:rsidR="00F4326A" w:rsidRDefault="00347EBC">
            <w:pPr>
              <w:jc w:val="center"/>
              <w:rPr>
                <w:rFonts w:ascii="宋体" w:hAnsi="宋体" w:cs="宋体"/>
                <w:b/>
                <w:bCs/>
                <w:szCs w:val="21"/>
              </w:rPr>
            </w:pPr>
            <w:r>
              <w:rPr>
                <w:rFonts w:ascii="宋体" w:hAnsi="宋体" w:cs="宋体" w:hint="eastAsia"/>
                <w:b/>
                <w:bCs/>
                <w:szCs w:val="21"/>
              </w:rPr>
              <w:t>持股数量（股）</w:t>
            </w:r>
          </w:p>
        </w:tc>
        <w:tc>
          <w:tcPr>
            <w:tcW w:w="1417" w:type="dxa"/>
            <w:vAlign w:val="center"/>
          </w:tcPr>
          <w:p w14:paraId="216C3FC0" w14:textId="77777777" w:rsidR="00F4326A" w:rsidRDefault="00347EBC">
            <w:pPr>
              <w:jc w:val="center"/>
              <w:rPr>
                <w:rFonts w:ascii="宋体" w:hAnsi="宋体" w:cs="宋体"/>
                <w:b/>
                <w:bCs/>
                <w:szCs w:val="21"/>
              </w:rPr>
            </w:pPr>
            <w:r>
              <w:rPr>
                <w:rFonts w:ascii="宋体" w:hAnsi="宋体" w:cs="宋体" w:hint="eastAsia"/>
                <w:b/>
                <w:bCs/>
                <w:szCs w:val="21"/>
              </w:rPr>
              <w:t>持股比例（</w:t>
            </w:r>
            <w:r>
              <w:rPr>
                <w:rFonts w:ascii="宋体" w:hAnsi="宋体" w:cs="宋体" w:hint="eastAsia"/>
                <w:b/>
                <w:bCs/>
                <w:szCs w:val="21"/>
              </w:rPr>
              <w:t>%</w:t>
            </w:r>
            <w:r>
              <w:rPr>
                <w:rFonts w:ascii="宋体" w:hAnsi="宋体" w:cs="宋体" w:hint="eastAsia"/>
                <w:b/>
                <w:bCs/>
                <w:szCs w:val="21"/>
              </w:rPr>
              <w:t>）</w:t>
            </w:r>
          </w:p>
        </w:tc>
        <w:tc>
          <w:tcPr>
            <w:tcW w:w="1559" w:type="dxa"/>
            <w:vAlign w:val="center"/>
          </w:tcPr>
          <w:p w14:paraId="75B36860" w14:textId="77777777" w:rsidR="00F4326A" w:rsidRDefault="00347EBC">
            <w:pPr>
              <w:jc w:val="center"/>
              <w:rPr>
                <w:rFonts w:ascii="宋体" w:hAnsi="宋体" w:cs="宋体"/>
                <w:b/>
                <w:bCs/>
                <w:szCs w:val="21"/>
              </w:rPr>
            </w:pPr>
            <w:r>
              <w:rPr>
                <w:rFonts w:ascii="宋体" w:hAnsi="宋体" w:cs="宋体" w:hint="eastAsia"/>
                <w:b/>
                <w:bCs/>
                <w:szCs w:val="21"/>
              </w:rPr>
              <w:t>持股数量（股）</w:t>
            </w:r>
          </w:p>
        </w:tc>
        <w:tc>
          <w:tcPr>
            <w:tcW w:w="1560" w:type="dxa"/>
            <w:vAlign w:val="center"/>
          </w:tcPr>
          <w:p w14:paraId="5607633D" w14:textId="77777777" w:rsidR="00F4326A" w:rsidRDefault="00347EBC">
            <w:pPr>
              <w:jc w:val="center"/>
              <w:rPr>
                <w:rFonts w:ascii="宋体" w:hAnsi="宋体" w:cs="宋体"/>
                <w:b/>
                <w:bCs/>
                <w:szCs w:val="21"/>
              </w:rPr>
            </w:pPr>
            <w:r>
              <w:rPr>
                <w:rFonts w:ascii="宋体" w:hAnsi="宋体" w:cs="宋体" w:hint="eastAsia"/>
                <w:b/>
                <w:bCs/>
                <w:szCs w:val="21"/>
              </w:rPr>
              <w:t>持股比例（</w:t>
            </w:r>
            <w:r>
              <w:rPr>
                <w:rFonts w:ascii="宋体" w:hAnsi="宋体" w:cs="宋体" w:hint="eastAsia"/>
                <w:b/>
                <w:bCs/>
                <w:szCs w:val="21"/>
              </w:rPr>
              <w:t>%</w:t>
            </w:r>
            <w:r>
              <w:rPr>
                <w:rFonts w:ascii="宋体" w:hAnsi="宋体" w:cs="宋体" w:hint="eastAsia"/>
                <w:b/>
                <w:bCs/>
                <w:szCs w:val="21"/>
              </w:rPr>
              <w:t>）</w:t>
            </w:r>
          </w:p>
        </w:tc>
      </w:tr>
      <w:tr w:rsidR="00F4326A" w14:paraId="48DA2CC3" w14:textId="77777777" w:rsidTr="00347EBC">
        <w:trPr>
          <w:jc w:val="center"/>
        </w:trPr>
        <w:tc>
          <w:tcPr>
            <w:tcW w:w="1900" w:type="dxa"/>
            <w:vAlign w:val="center"/>
          </w:tcPr>
          <w:p w14:paraId="494F3500" w14:textId="77777777" w:rsidR="00F4326A" w:rsidRDefault="00347EBC" w:rsidP="00347EBC">
            <w:pPr>
              <w:jc w:val="center"/>
              <w:rPr>
                <w:rFonts w:ascii="宋体" w:hAnsi="宋体" w:cs="宋体"/>
                <w:szCs w:val="21"/>
              </w:rPr>
            </w:pPr>
            <w:r>
              <w:rPr>
                <w:rFonts w:ascii="宋体" w:hAnsi="宋体" w:cs="宋体" w:hint="eastAsia"/>
                <w:szCs w:val="21"/>
              </w:rPr>
              <w:t>华孚控股有限公司</w:t>
            </w:r>
          </w:p>
        </w:tc>
        <w:tc>
          <w:tcPr>
            <w:tcW w:w="1650" w:type="dxa"/>
            <w:vAlign w:val="center"/>
          </w:tcPr>
          <w:p w14:paraId="28495E3E"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501,655,862</w:t>
            </w:r>
          </w:p>
        </w:tc>
        <w:tc>
          <w:tcPr>
            <w:tcW w:w="1417" w:type="dxa"/>
            <w:vAlign w:val="center"/>
          </w:tcPr>
          <w:p w14:paraId="451B003E"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29.50</w:t>
            </w:r>
          </w:p>
        </w:tc>
        <w:tc>
          <w:tcPr>
            <w:tcW w:w="1559" w:type="dxa"/>
            <w:vAlign w:val="center"/>
          </w:tcPr>
          <w:p w14:paraId="4354FD98"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401,315,662</w:t>
            </w:r>
          </w:p>
        </w:tc>
        <w:tc>
          <w:tcPr>
            <w:tcW w:w="1560" w:type="dxa"/>
            <w:vAlign w:val="center"/>
          </w:tcPr>
          <w:p w14:paraId="10C438D5"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23.60</w:t>
            </w:r>
          </w:p>
        </w:tc>
      </w:tr>
      <w:tr w:rsidR="00F4326A" w14:paraId="0735EB4B" w14:textId="77777777" w:rsidTr="00347EBC">
        <w:trPr>
          <w:jc w:val="center"/>
        </w:trPr>
        <w:tc>
          <w:tcPr>
            <w:tcW w:w="1900" w:type="dxa"/>
          </w:tcPr>
          <w:p w14:paraId="27F76455" w14:textId="77777777" w:rsidR="00F4326A" w:rsidRDefault="00347EBC">
            <w:pPr>
              <w:rPr>
                <w:rFonts w:ascii="宋体" w:hAnsi="宋体" w:cs="宋体"/>
                <w:szCs w:val="21"/>
              </w:rPr>
            </w:pPr>
            <w:proofErr w:type="gramStart"/>
            <w:r>
              <w:rPr>
                <w:rFonts w:ascii="宋体" w:hAnsi="宋体" w:cs="宋体" w:hint="eastAsia"/>
                <w:szCs w:val="21"/>
              </w:rPr>
              <w:t>杭州兴健私募</w:t>
            </w:r>
            <w:proofErr w:type="gramEnd"/>
            <w:r>
              <w:rPr>
                <w:rFonts w:ascii="宋体" w:hAnsi="宋体" w:cs="宋体" w:hint="eastAsia"/>
                <w:szCs w:val="21"/>
              </w:rPr>
              <w:t>基金管理有限公司</w:t>
            </w:r>
            <w:r>
              <w:rPr>
                <w:rFonts w:ascii="宋体" w:hAnsi="宋体" w:cs="宋体" w:hint="eastAsia"/>
                <w:szCs w:val="21"/>
              </w:rPr>
              <w:t>-</w:t>
            </w:r>
            <w:proofErr w:type="gramStart"/>
            <w:r>
              <w:rPr>
                <w:rFonts w:ascii="宋体" w:hAnsi="宋体" w:cs="宋体" w:hint="eastAsia"/>
                <w:szCs w:val="21"/>
              </w:rPr>
              <w:t>兴健青龙</w:t>
            </w:r>
            <w:proofErr w:type="gramEnd"/>
            <w:r>
              <w:rPr>
                <w:rFonts w:ascii="宋体" w:hAnsi="宋体" w:cs="宋体" w:hint="eastAsia"/>
                <w:szCs w:val="21"/>
              </w:rPr>
              <w:t>私募证券投资基金</w:t>
            </w:r>
          </w:p>
        </w:tc>
        <w:tc>
          <w:tcPr>
            <w:tcW w:w="1650" w:type="dxa"/>
            <w:vAlign w:val="center"/>
          </w:tcPr>
          <w:p w14:paraId="2B35FAE5"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0</w:t>
            </w:r>
          </w:p>
        </w:tc>
        <w:tc>
          <w:tcPr>
            <w:tcW w:w="1417" w:type="dxa"/>
            <w:vAlign w:val="center"/>
          </w:tcPr>
          <w:p w14:paraId="57F5895C"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0</w:t>
            </w:r>
          </w:p>
        </w:tc>
        <w:tc>
          <w:tcPr>
            <w:tcW w:w="1559" w:type="dxa"/>
            <w:vAlign w:val="center"/>
          </w:tcPr>
          <w:p w14:paraId="07E7DA8B" w14:textId="77777777" w:rsidR="00F4326A" w:rsidRDefault="00347EBC" w:rsidP="00347EBC">
            <w:pPr>
              <w:spacing w:line="360" w:lineRule="auto"/>
              <w:jc w:val="right"/>
              <w:rPr>
                <w:rFonts w:ascii="宋体" w:hAnsi="宋体" w:cs="宋体"/>
                <w:szCs w:val="21"/>
              </w:rPr>
            </w:pPr>
            <w:r>
              <w:rPr>
                <w:rFonts w:ascii="宋体" w:hAnsi="宋体" w:cs="宋体" w:hint="eastAsia"/>
                <w:szCs w:val="21"/>
              </w:rPr>
              <w:t>100,340,200</w:t>
            </w:r>
          </w:p>
        </w:tc>
        <w:tc>
          <w:tcPr>
            <w:tcW w:w="1560" w:type="dxa"/>
            <w:vAlign w:val="center"/>
          </w:tcPr>
          <w:p w14:paraId="46829384" w14:textId="77777777" w:rsidR="00F4326A" w:rsidRDefault="00347EBC" w:rsidP="00347EBC">
            <w:pPr>
              <w:spacing w:line="360" w:lineRule="auto"/>
              <w:jc w:val="right"/>
              <w:rPr>
                <w:rFonts w:ascii="宋体" w:hAnsi="宋体" w:cs="宋体"/>
                <w:szCs w:val="21"/>
              </w:rPr>
            </w:pPr>
            <w:bookmarkStart w:id="0" w:name="_GoBack"/>
            <w:bookmarkEnd w:id="0"/>
            <w:r>
              <w:rPr>
                <w:rFonts w:ascii="宋体" w:hAnsi="宋体" w:cs="宋体" w:hint="eastAsia"/>
                <w:szCs w:val="21"/>
              </w:rPr>
              <w:t>5.90</w:t>
            </w:r>
          </w:p>
        </w:tc>
      </w:tr>
    </w:tbl>
    <w:p w14:paraId="6AAB55C7" w14:textId="77777777" w:rsidR="00F4326A" w:rsidRDefault="00347EBC">
      <w:pPr>
        <w:numPr>
          <w:ilvl w:val="0"/>
          <w:numId w:val="1"/>
        </w:numPr>
        <w:autoSpaceDE w:val="0"/>
        <w:autoSpaceDN w:val="0"/>
        <w:adjustRightInd w:val="0"/>
        <w:spacing w:line="360" w:lineRule="auto"/>
        <w:ind w:firstLineChars="200" w:firstLine="482"/>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其他说明</w:t>
      </w:r>
    </w:p>
    <w:p w14:paraId="50FC43F7" w14:textId="77777777" w:rsidR="00F4326A" w:rsidRDefault="00347EBC">
      <w:pPr>
        <w:numPr>
          <w:ilvl w:val="0"/>
          <w:numId w:val="2"/>
        </w:num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本次股份协议转让符合《中华人民共和国公司法》《中华人民共和国证券法》《深圳证券交易所上市公司自律监管指引第</w:t>
      </w:r>
      <w:r>
        <w:rPr>
          <w:rFonts w:asciiTheme="minorEastAsia" w:eastAsiaTheme="minorEastAsia" w:hAnsiTheme="minorEastAsia"/>
          <w:kern w:val="0"/>
          <w:sz w:val="24"/>
          <w:szCs w:val="24"/>
        </w:rPr>
        <w:t>18</w:t>
      </w:r>
      <w:r>
        <w:rPr>
          <w:rFonts w:asciiTheme="minorEastAsia" w:eastAsiaTheme="minorEastAsia" w:hAnsiTheme="minorEastAsia"/>
          <w:kern w:val="0"/>
          <w:sz w:val="24"/>
          <w:szCs w:val="24"/>
        </w:rPr>
        <w:t>号</w:t>
      </w:r>
      <w:r>
        <w:rPr>
          <w:rFonts w:asciiTheme="minorEastAsia" w:eastAsiaTheme="minorEastAsia" w:hAnsiTheme="minorEastAsia"/>
          <w:kern w:val="0"/>
          <w:sz w:val="24"/>
          <w:szCs w:val="24"/>
        </w:rPr>
        <w:t>——</w:t>
      </w:r>
      <w:r>
        <w:rPr>
          <w:rFonts w:asciiTheme="minorEastAsia" w:eastAsiaTheme="minorEastAsia" w:hAnsiTheme="minorEastAsia"/>
          <w:kern w:val="0"/>
          <w:sz w:val="24"/>
          <w:szCs w:val="24"/>
        </w:rPr>
        <w:t>股东及董事、高级管理人员减持股份》《深圳证券交易所上市公司股份协议转让业务办理指引》等有关法律法规及规范性文件和公司章程的规定。</w:t>
      </w:r>
    </w:p>
    <w:p w14:paraId="46745413" w14:textId="77777777" w:rsidR="00F4326A" w:rsidRDefault="00347EBC">
      <w:pPr>
        <w:numPr>
          <w:ilvl w:val="0"/>
          <w:numId w:val="2"/>
        </w:num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本次股份协议</w:t>
      </w:r>
      <w:proofErr w:type="gramStart"/>
      <w:r>
        <w:rPr>
          <w:rFonts w:asciiTheme="minorEastAsia" w:eastAsiaTheme="minorEastAsia" w:hAnsiTheme="minorEastAsia" w:hint="eastAsia"/>
          <w:kern w:val="0"/>
          <w:sz w:val="24"/>
          <w:szCs w:val="24"/>
        </w:rPr>
        <w:t>转让</w:t>
      </w:r>
      <w:r>
        <w:rPr>
          <w:rFonts w:asciiTheme="minorEastAsia" w:eastAsiaTheme="minorEastAsia" w:hAnsiTheme="minorEastAsia"/>
          <w:kern w:val="0"/>
          <w:sz w:val="24"/>
          <w:szCs w:val="24"/>
        </w:rPr>
        <w:t>受让方</w:t>
      </w:r>
      <w:r>
        <w:rPr>
          <w:rFonts w:asciiTheme="minorEastAsia" w:eastAsiaTheme="minorEastAsia" w:hAnsiTheme="minorEastAsia" w:hint="eastAsia"/>
          <w:kern w:val="0"/>
          <w:sz w:val="24"/>
          <w:szCs w:val="24"/>
        </w:rPr>
        <w:t>兴健</w:t>
      </w:r>
      <w:proofErr w:type="gramEnd"/>
      <w:r>
        <w:rPr>
          <w:rFonts w:asciiTheme="minorEastAsia" w:eastAsiaTheme="minorEastAsia" w:hAnsiTheme="minorEastAsia" w:hint="eastAsia"/>
          <w:kern w:val="0"/>
          <w:sz w:val="24"/>
          <w:szCs w:val="24"/>
        </w:rPr>
        <w:t>青龙基金</w:t>
      </w:r>
      <w:r>
        <w:rPr>
          <w:rFonts w:asciiTheme="minorEastAsia" w:eastAsiaTheme="minorEastAsia" w:hAnsiTheme="minorEastAsia"/>
          <w:kern w:val="0"/>
          <w:sz w:val="24"/>
          <w:szCs w:val="24"/>
        </w:rPr>
        <w:t>在过户后持股</w:t>
      </w:r>
      <w:r>
        <w:rPr>
          <w:rFonts w:asciiTheme="minorEastAsia" w:eastAsiaTheme="minorEastAsia" w:hAnsiTheme="minorEastAsia"/>
          <w:kern w:val="0"/>
          <w:sz w:val="24"/>
          <w:szCs w:val="24"/>
        </w:rPr>
        <w:t>100,340,200</w:t>
      </w:r>
      <w:r>
        <w:rPr>
          <w:rFonts w:asciiTheme="minorEastAsia" w:eastAsiaTheme="minorEastAsia" w:hAnsiTheme="minorEastAsia"/>
          <w:kern w:val="0"/>
          <w:sz w:val="24"/>
          <w:szCs w:val="24"/>
        </w:rPr>
        <w:t>股，占公司总股本</w:t>
      </w: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90</w:t>
      </w:r>
      <w:r>
        <w:rPr>
          <w:rFonts w:asciiTheme="minorEastAsia" w:eastAsiaTheme="minorEastAsia" w:hAnsiTheme="minorEastAsia"/>
          <w:kern w:val="0"/>
          <w:sz w:val="24"/>
          <w:szCs w:val="24"/>
        </w:rPr>
        <w:t>%</w:t>
      </w:r>
      <w:r>
        <w:rPr>
          <w:rFonts w:asciiTheme="minorEastAsia" w:eastAsiaTheme="minorEastAsia" w:hAnsiTheme="minorEastAsia"/>
          <w:kern w:val="0"/>
          <w:sz w:val="24"/>
          <w:szCs w:val="24"/>
        </w:rPr>
        <w:t>，成为本公司第三大股东，并承诺在过户登记手续完成后的十</w:t>
      </w:r>
      <w:r>
        <w:rPr>
          <w:rFonts w:asciiTheme="minorEastAsia" w:eastAsiaTheme="minorEastAsia" w:hAnsiTheme="minorEastAsia" w:hint="eastAsia"/>
          <w:kern w:val="0"/>
          <w:sz w:val="24"/>
          <w:szCs w:val="24"/>
        </w:rPr>
        <w:t>二</w:t>
      </w:r>
      <w:r>
        <w:rPr>
          <w:rFonts w:asciiTheme="minorEastAsia" w:eastAsiaTheme="minorEastAsia" w:hAnsiTheme="minorEastAsia"/>
          <w:kern w:val="0"/>
          <w:sz w:val="24"/>
          <w:szCs w:val="24"/>
        </w:rPr>
        <w:t>个月内不减持公司股份。</w:t>
      </w:r>
    </w:p>
    <w:p w14:paraId="18F9D603" w14:textId="77777777" w:rsidR="00F4326A" w:rsidRDefault="00347EBC">
      <w:pPr>
        <w:numPr>
          <w:ilvl w:val="0"/>
          <w:numId w:val="2"/>
        </w:num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兴建青龙基金后续支付安排参照《股份转让</w:t>
      </w:r>
      <w:r>
        <w:rPr>
          <w:rFonts w:asciiTheme="minorEastAsia" w:eastAsiaTheme="minorEastAsia" w:hAnsiTheme="minorEastAsia" w:hint="eastAsia"/>
          <w:kern w:val="0"/>
          <w:sz w:val="24"/>
          <w:szCs w:val="24"/>
        </w:rPr>
        <w:t>协议</w:t>
      </w:r>
      <w:r>
        <w:rPr>
          <w:rFonts w:asciiTheme="minorEastAsia" w:eastAsiaTheme="minorEastAsia" w:hAnsiTheme="minorEastAsia" w:hint="eastAsia"/>
          <w:kern w:val="0"/>
          <w:sz w:val="24"/>
          <w:szCs w:val="24"/>
        </w:rPr>
        <w:t>补充协议》执行。</w:t>
      </w:r>
    </w:p>
    <w:p w14:paraId="254DF668" w14:textId="77777777" w:rsidR="00F4326A" w:rsidRDefault="00347EBC">
      <w:pPr>
        <w:numPr>
          <w:ilvl w:val="0"/>
          <w:numId w:val="2"/>
        </w:numPr>
        <w:autoSpaceDE w:val="0"/>
        <w:autoSpaceDN w:val="0"/>
        <w:adjustRightInd w:val="0"/>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本次股份转让不涉及要约收购。本次股份转让事项不会导致公司控股股东及实际控制人发生变化，不存在损害中小股东利益的情形，亦不会对公司正常经营管理产生影响。</w:t>
      </w:r>
      <w:r>
        <w:rPr>
          <w:rFonts w:asciiTheme="minorEastAsia" w:eastAsiaTheme="minorEastAsia" w:hAnsiTheme="minorEastAsia" w:hint="eastAsia"/>
          <w:kern w:val="0"/>
          <w:sz w:val="24"/>
          <w:szCs w:val="24"/>
        </w:rPr>
        <w:t>敬请广大投资者注意投资风险。</w:t>
      </w:r>
    </w:p>
    <w:p w14:paraId="2E2AC1FC" w14:textId="77777777" w:rsidR="00F4326A" w:rsidRDefault="00347EBC">
      <w:pPr>
        <w:autoSpaceDE w:val="0"/>
        <w:autoSpaceDN w:val="0"/>
        <w:adjustRightInd w:val="0"/>
        <w:spacing w:line="360" w:lineRule="auto"/>
        <w:ind w:leftChars="200" w:left="42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特此公告。</w:t>
      </w:r>
    </w:p>
    <w:p w14:paraId="01BD6734" w14:textId="77777777" w:rsidR="00F4326A" w:rsidRDefault="00347EBC">
      <w:pPr>
        <w:autoSpaceDE w:val="0"/>
        <w:autoSpaceDN w:val="0"/>
        <w:adjustRightInd w:val="0"/>
        <w:spacing w:line="360" w:lineRule="auto"/>
        <w:ind w:leftChars="200" w:left="420"/>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备查文件</w:t>
      </w:r>
      <w:r>
        <w:rPr>
          <w:rFonts w:asciiTheme="minorEastAsia" w:eastAsiaTheme="minorEastAsia" w:hAnsiTheme="minorEastAsia" w:hint="eastAsia"/>
          <w:b/>
          <w:bCs/>
          <w:kern w:val="0"/>
          <w:sz w:val="24"/>
          <w:szCs w:val="24"/>
        </w:rPr>
        <w:t>：</w:t>
      </w:r>
    </w:p>
    <w:p w14:paraId="49D450B3" w14:textId="77777777" w:rsidR="00F4326A" w:rsidRDefault="00347EBC">
      <w:pPr>
        <w:autoSpaceDE w:val="0"/>
        <w:autoSpaceDN w:val="0"/>
        <w:adjustRightInd w:val="0"/>
        <w:spacing w:line="360" w:lineRule="auto"/>
        <w:ind w:leftChars="200" w:left="42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中国证券登记结算有限责任公司出具的《证券过户登记确认书》</w:t>
      </w:r>
    </w:p>
    <w:p w14:paraId="04404858" w14:textId="77777777" w:rsidR="00F4326A" w:rsidRDefault="00347EBC">
      <w:pPr>
        <w:autoSpaceDE w:val="0"/>
        <w:autoSpaceDN w:val="0"/>
        <w:adjustRightInd w:val="0"/>
        <w:spacing w:line="360" w:lineRule="auto"/>
        <w:jc w:val="right"/>
        <w:rPr>
          <w:rFonts w:asciiTheme="minorEastAsia" w:eastAsiaTheme="minorEastAsia" w:hAnsiTheme="minorEastAsia"/>
          <w:kern w:val="0"/>
          <w:sz w:val="24"/>
          <w:szCs w:val="24"/>
        </w:rPr>
      </w:pPr>
      <w:r>
        <w:rPr>
          <w:rFonts w:asciiTheme="minorEastAsia" w:eastAsiaTheme="minorEastAsia" w:hAnsiTheme="minorEastAsia"/>
          <w:kern w:val="0"/>
          <w:sz w:val="24"/>
          <w:szCs w:val="24"/>
        </w:rPr>
        <w:t>华孚时尚股份有限公司</w:t>
      </w:r>
      <w:r>
        <w:rPr>
          <w:rFonts w:asciiTheme="minorEastAsia" w:eastAsiaTheme="minorEastAsia" w:hAnsiTheme="minorEastAsia" w:hint="eastAsia"/>
          <w:kern w:val="0"/>
          <w:sz w:val="24"/>
          <w:szCs w:val="24"/>
        </w:rPr>
        <w:t>董</w:t>
      </w:r>
      <w:r>
        <w:rPr>
          <w:rFonts w:asciiTheme="minorEastAsia" w:eastAsiaTheme="minorEastAsia" w:hAnsiTheme="minorEastAsia"/>
          <w:kern w:val="0"/>
          <w:sz w:val="24"/>
          <w:szCs w:val="24"/>
        </w:rPr>
        <w:t>事会</w:t>
      </w:r>
    </w:p>
    <w:p w14:paraId="443BDC54" w14:textId="77777777" w:rsidR="00F4326A" w:rsidRDefault="00347EBC">
      <w:pPr>
        <w:autoSpaceDE w:val="0"/>
        <w:autoSpaceDN w:val="0"/>
        <w:adjustRightInd w:val="0"/>
        <w:spacing w:line="360" w:lineRule="auto"/>
        <w:jc w:val="right"/>
        <w:rPr>
          <w:rFonts w:asciiTheme="minorEastAsia" w:eastAsiaTheme="minorEastAsia" w:hAnsiTheme="minorEastAsia"/>
          <w:sz w:val="24"/>
          <w:szCs w:val="24"/>
        </w:rPr>
      </w:pPr>
      <w:r>
        <w:rPr>
          <w:rFonts w:asciiTheme="minorEastAsia" w:eastAsiaTheme="minorEastAsia" w:hAnsiTheme="minorEastAsia" w:hint="eastAsia"/>
          <w:kern w:val="0"/>
          <w:sz w:val="24"/>
          <w:szCs w:val="24"/>
        </w:rPr>
        <w:t>二〇二五年九月二十日</w:t>
      </w:r>
    </w:p>
    <w:sectPr w:rsidR="00F4326A">
      <w:pgSz w:w="11906" w:h="16838"/>
      <w:pgMar w:top="1440" w:right="1800" w:bottom="184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96947"/>
    <w:multiLevelType w:val="singleLevel"/>
    <w:tmpl w:val="B2796947"/>
    <w:lvl w:ilvl="0">
      <w:start w:val="1"/>
      <w:numFmt w:val="chineseCounting"/>
      <w:suff w:val="nothing"/>
      <w:lvlText w:val="%1、"/>
      <w:lvlJc w:val="left"/>
      <w:rPr>
        <w:rFonts w:hint="eastAsia"/>
      </w:rPr>
    </w:lvl>
  </w:abstractNum>
  <w:abstractNum w:abstractNumId="1">
    <w:nsid w:val="55D316D5"/>
    <w:multiLevelType w:val="singleLevel"/>
    <w:tmpl w:val="55D316D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30938"/>
    <w:rsid w:val="0005344A"/>
    <w:rsid w:val="00072F72"/>
    <w:rsid w:val="00073ED7"/>
    <w:rsid w:val="00077B55"/>
    <w:rsid w:val="000864CE"/>
    <w:rsid w:val="000A59A0"/>
    <w:rsid w:val="000D4629"/>
    <w:rsid w:val="000D5198"/>
    <w:rsid w:val="000E0DC2"/>
    <w:rsid w:val="000E1CB2"/>
    <w:rsid w:val="000F2525"/>
    <w:rsid w:val="000F31DF"/>
    <w:rsid w:val="00101C2A"/>
    <w:rsid w:val="0010472C"/>
    <w:rsid w:val="00107892"/>
    <w:rsid w:val="00110CA2"/>
    <w:rsid w:val="001421D3"/>
    <w:rsid w:val="001454CC"/>
    <w:rsid w:val="00147F04"/>
    <w:rsid w:val="00160828"/>
    <w:rsid w:val="00162FE4"/>
    <w:rsid w:val="001657EE"/>
    <w:rsid w:val="00171561"/>
    <w:rsid w:val="00172BC2"/>
    <w:rsid w:val="001834CB"/>
    <w:rsid w:val="00184D4F"/>
    <w:rsid w:val="00195116"/>
    <w:rsid w:val="001A41C6"/>
    <w:rsid w:val="001A4B2A"/>
    <w:rsid w:val="001C4E9E"/>
    <w:rsid w:val="001E7C24"/>
    <w:rsid w:val="001F5AD7"/>
    <w:rsid w:val="00245473"/>
    <w:rsid w:val="00260090"/>
    <w:rsid w:val="00287EF9"/>
    <w:rsid w:val="002B7A5A"/>
    <w:rsid w:val="002D5BE1"/>
    <w:rsid w:val="002D792A"/>
    <w:rsid w:val="00301B70"/>
    <w:rsid w:val="00331750"/>
    <w:rsid w:val="0034603E"/>
    <w:rsid w:val="00347EBC"/>
    <w:rsid w:val="0037195C"/>
    <w:rsid w:val="003B336E"/>
    <w:rsid w:val="003C7D52"/>
    <w:rsid w:val="003D122A"/>
    <w:rsid w:val="003D4FDA"/>
    <w:rsid w:val="003D6B08"/>
    <w:rsid w:val="003D76D1"/>
    <w:rsid w:val="003E3AAF"/>
    <w:rsid w:val="00407607"/>
    <w:rsid w:val="00416B62"/>
    <w:rsid w:val="004177B7"/>
    <w:rsid w:val="00422395"/>
    <w:rsid w:val="004311AF"/>
    <w:rsid w:val="00481418"/>
    <w:rsid w:val="00493CDA"/>
    <w:rsid w:val="004B6727"/>
    <w:rsid w:val="004D6190"/>
    <w:rsid w:val="004E7761"/>
    <w:rsid w:val="004F40B5"/>
    <w:rsid w:val="004F782E"/>
    <w:rsid w:val="00513CD5"/>
    <w:rsid w:val="00515F86"/>
    <w:rsid w:val="0052141F"/>
    <w:rsid w:val="00521776"/>
    <w:rsid w:val="00523EE7"/>
    <w:rsid w:val="005262A3"/>
    <w:rsid w:val="00533D5E"/>
    <w:rsid w:val="005413CB"/>
    <w:rsid w:val="005509DA"/>
    <w:rsid w:val="0056077C"/>
    <w:rsid w:val="00563FDE"/>
    <w:rsid w:val="0056582B"/>
    <w:rsid w:val="00575FD2"/>
    <w:rsid w:val="00583371"/>
    <w:rsid w:val="005C3288"/>
    <w:rsid w:val="005C6441"/>
    <w:rsid w:val="005D1C24"/>
    <w:rsid w:val="00601109"/>
    <w:rsid w:val="00602F1F"/>
    <w:rsid w:val="0060371E"/>
    <w:rsid w:val="00613DFD"/>
    <w:rsid w:val="00624B96"/>
    <w:rsid w:val="00630782"/>
    <w:rsid w:val="0065306D"/>
    <w:rsid w:val="00663FE3"/>
    <w:rsid w:val="00666BB4"/>
    <w:rsid w:val="00677B15"/>
    <w:rsid w:val="006822AB"/>
    <w:rsid w:val="00697179"/>
    <w:rsid w:val="006D15CC"/>
    <w:rsid w:val="006E6AFD"/>
    <w:rsid w:val="006F311D"/>
    <w:rsid w:val="006F3BB5"/>
    <w:rsid w:val="006F59DF"/>
    <w:rsid w:val="00700436"/>
    <w:rsid w:val="00704E4B"/>
    <w:rsid w:val="0071197D"/>
    <w:rsid w:val="00735CBE"/>
    <w:rsid w:val="00737F5E"/>
    <w:rsid w:val="0074750C"/>
    <w:rsid w:val="00757D85"/>
    <w:rsid w:val="0079740D"/>
    <w:rsid w:val="0079769C"/>
    <w:rsid w:val="007B6971"/>
    <w:rsid w:val="007C0D39"/>
    <w:rsid w:val="007D5132"/>
    <w:rsid w:val="007E2872"/>
    <w:rsid w:val="00822E8C"/>
    <w:rsid w:val="00824DED"/>
    <w:rsid w:val="00826D6E"/>
    <w:rsid w:val="00832685"/>
    <w:rsid w:val="008334EC"/>
    <w:rsid w:val="00841BE8"/>
    <w:rsid w:val="00847235"/>
    <w:rsid w:val="00862A46"/>
    <w:rsid w:val="008720A2"/>
    <w:rsid w:val="008C3C6D"/>
    <w:rsid w:val="008D13DD"/>
    <w:rsid w:val="008D4E62"/>
    <w:rsid w:val="008E739A"/>
    <w:rsid w:val="00921C1A"/>
    <w:rsid w:val="00925B42"/>
    <w:rsid w:val="0093215B"/>
    <w:rsid w:val="00932963"/>
    <w:rsid w:val="009406DA"/>
    <w:rsid w:val="0095138F"/>
    <w:rsid w:val="00952E83"/>
    <w:rsid w:val="00957BE8"/>
    <w:rsid w:val="00962675"/>
    <w:rsid w:val="00974AE1"/>
    <w:rsid w:val="0098134C"/>
    <w:rsid w:val="00984D7B"/>
    <w:rsid w:val="00985BAD"/>
    <w:rsid w:val="00985CBE"/>
    <w:rsid w:val="00993E83"/>
    <w:rsid w:val="009D0419"/>
    <w:rsid w:val="009D7EF8"/>
    <w:rsid w:val="009F0741"/>
    <w:rsid w:val="009F23F9"/>
    <w:rsid w:val="009F57E6"/>
    <w:rsid w:val="009F6B32"/>
    <w:rsid w:val="00A02886"/>
    <w:rsid w:val="00A137E7"/>
    <w:rsid w:val="00A22881"/>
    <w:rsid w:val="00A2438E"/>
    <w:rsid w:val="00A2788A"/>
    <w:rsid w:val="00A35185"/>
    <w:rsid w:val="00A358EB"/>
    <w:rsid w:val="00A45FE7"/>
    <w:rsid w:val="00A66C04"/>
    <w:rsid w:val="00A70486"/>
    <w:rsid w:val="00A74B9F"/>
    <w:rsid w:val="00A76D9B"/>
    <w:rsid w:val="00A83FCE"/>
    <w:rsid w:val="00A93A80"/>
    <w:rsid w:val="00AB507E"/>
    <w:rsid w:val="00AC3C01"/>
    <w:rsid w:val="00AC591E"/>
    <w:rsid w:val="00AC63A0"/>
    <w:rsid w:val="00AC641F"/>
    <w:rsid w:val="00AD43A4"/>
    <w:rsid w:val="00AE2F9E"/>
    <w:rsid w:val="00AF376D"/>
    <w:rsid w:val="00B10EF8"/>
    <w:rsid w:val="00B315E6"/>
    <w:rsid w:val="00B34194"/>
    <w:rsid w:val="00B4132A"/>
    <w:rsid w:val="00B54D64"/>
    <w:rsid w:val="00B6381E"/>
    <w:rsid w:val="00B66744"/>
    <w:rsid w:val="00B82ED3"/>
    <w:rsid w:val="00B93FC3"/>
    <w:rsid w:val="00BA6BC2"/>
    <w:rsid w:val="00BA7F76"/>
    <w:rsid w:val="00BB3F3F"/>
    <w:rsid w:val="00BF13AE"/>
    <w:rsid w:val="00BF23F9"/>
    <w:rsid w:val="00BF29C0"/>
    <w:rsid w:val="00C019E6"/>
    <w:rsid w:val="00C21C42"/>
    <w:rsid w:val="00C428C4"/>
    <w:rsid w:val="00C506F0"/>
    <w:rsid w:val="00C50F47"/>
    <w:rsid w:val="00C55B84"/>
    <w:rsid w:val="00C60F60"/>
    <w:rsid w:val="00C6218A"/>
    <w:rsid w:val="00C75216"/>
    <w:rsid w:val="00C80118"/>
    <w:rsid w:val="00CB7DB4"/>
    <w:rsid w:val="00CF0030"/>
    <w:rsid w:val="00D01EAD"/>
    <w:rsid w:val="00D0411A"/>
    <w:rsid w:val="00D12795"/>
    <w:rsid w:val="00D40684"/>
    <w:rsid w:val="00D611C6"/>
    <w:rsid w:val="00D70B6D"/>
    <w:rsid w:val="00D744A3"/>
    <w:rsid w:val="00D851B2"/>
    <w:rsid w:val="00D872DE"/>
    <w:rsid w:val="00D9258B"/>
    <w:rsid w:val="00DA1675"/>
    <w:rsid w:val="00DA360D"/>
    <w:rsid w:val="00DB4173"/>
    <w:rsid w:val="00DD30B7"/>
    <w:rsid w:val="00DD450B"/>
    <w:rsid w:val="00DE734B"/>
    <w:rsid w:val="00DF0348"/>
    <w:rsid w:val="00E330A1"/>
    <w:rsid w:val="00E37C18"/>
    <w:rsid w:val="00E6615D"/>
    <w:rsid w:val="00E7656F"/>
    <w:rsid w:val="00E85137"/>
    <w:rsid w:val="00EB21D5"/>
    <w:rsid w:val="00EB6C78"/>
    <w:rsid w:val="00EE7C11"/>
    <w:rsid w:val="00F01039"/>
    <w:rsid w:val="00F05FA4"/>
    <w:rsid w:val="00F0735F"/>
    <w:rsid w:val="00F34F07"/>
    <w:rsid w:val="00F4326A"/>
    <w:rsid w:val="00F54AEF"/>
    <w:rsid w:val="00F70C8D"/>
    <w:rsid w:val="00F758CC"/>
    <w:rsid w:val="00F8199E"/>
    <w:rsid w:val="00F96CE1"/>
    <w:rsid w:val="00FB6F06"/>
    <w:rsid w:val="00FC798E"/>
    <w:rsid w:val="02AC6CFE"/>
    <w:rsid w:val="065B15E4"/>
    <w:rsid w:val="066F6E3E"/>
    <w:rsid w:val="06954AF6"/>
    <w:rsid w:val="06F63650"/>
    <w:rsid w:val="09E33DCA"/>
    <w:rsid w:val="0D442DD2"/>
    <w:rsid w:val="0DDF34EF"/>
    <w:rsid w:val="0F307AB2"/>
    <w:rsid w:val="0FAD0AA8"/>
    <w:rsid w:val="130D3C66"/>
    <w:rsid w:val="133245B6"/>
    <w:rsid w:val="1B7A4421"/>
    <w:rsid w:val="1D525097"/>
    <w:rsid w:val="20C85755"/>
    <w:rsid w:val="21D61D17"/>
    <w:rsid w:val="24661428"/>
    <w:rsid w:val="28004014"/>
    <w:rsid w:val="2B6E42C0"/>
    <w:rsid w:val="2BB241C6"/>
    <w:rsid w:val="2C366A90"/>
    <w:rsid w:val="30274161"/>
    <w:rsid w:val="31B616D4"/>
    <w:rsid w:val="34A55F9D"/>
    <w:rsid w:val="374427E3"/>
    <w:rsid w:val="396C6C4B"/>
    <w:rsid w:val="399B6D21"/>
    <w:rsid w:val="39D864CC"/>
    <w:rsid w:val="3A105C66"/>
    <w:rsid w:val="3CE21F1B"/>
    <w:rsid w:val="42DD5907"/>
    <w:rsid w:val="43DD12AF"/>
    <w:rsid w:val="46DA38D7"/>
    <w:rsid w:val="50700DB5"/>
    <w:rsid w:val="511A58F1"/>
    <w:rsid w:val="519345CE"/>
    <w:rsid w:val="52766BFA"/>
    <w:rsid w:val="54C57311"/>
    <w:rsid w:val="553C395C"/>
    <w:rsid w:val="56D54068"/>
    <w:rsid w:val="5C8421B8"/>
    <w:rsid w:val="5DD961EC"/>
    <w:rsid w:val="60027B6B"/>
    <w:rsid w:val="675A27C1"/>
    <w:rsid w:val="703A6FBE"/>
    <w:rsid w:val="71904A1E"/>
    <w:rsid w:val="740833A5"/>
    <w:rsid w:val="743643C4"/>
    <w:rsid w:val="756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spacing w:line="600" w:lineRule="atLeast"/>
      <w:ind w:firstLineChars="200" w:firstLine="560"/>
    </w:pPr>
    <w:rPr>
      <w:rFonts w:ascii="Times New Roman" w:hAnsi="Times New Roman"/>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Pr>
      <w:color w:val="800080"/>
      <w:u w:val="single"/>
    </w:rPr>
  </w:style>
  <w:style w:type="character" w:styleId="aa">
    <w:name w:val="Hyperlink"/>
    <w:uiPriority w:val="99"/>
    <w:unhideWhenUsed/>
    <w:qFormat/>
    <w:rPr>
      <w:color w:val="0000FF"/>
      <w:u w:val="single"/>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正文文本缩进 Char"/>
    <w:basedOn w:val="a0"/>
    <w:link w:val="a3"/>
    <w:semiHidden/>
    <w:qFormat/>
    <w:rPr>
      <w:rFonts w:ascii="Times New Roman" w:eastAsia="宋体" w:hAnsi="Times New Roman" w:cs="Times New Roman"/>
      <w:sz w:val="28"/>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ListParagraph1">
    <w:name w:val="List Paragraph1"/>
    <w:basedOn w:val="a"/>
    <w:autoRedefine/>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spacing w:line="600" w:lineRule="atLeast"/>
      <w:ind w:firstLineChars="200" w:firstLine="560"/>
    </w:pPr>
    <w:rPr>
      <w:rFonts w:ascii="Times New Roman" w:hAnsi="Times New Roman"/>
      <w:sz w:val="28"/>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Pr>
      <w:color w:val="800080"/>
      <w:u w:val="single"/>
    </w:rPr>
  </w:style>
  <w:style w:type="character" w:styleId="aa">
    <w:name w:val="Hyperlink"/>
    <w:uiPriority w:val="99"/>
    <w:unhideWhenUsed/>
    <w:qFormat/>
    <w:rPr>
      <w:color w:val="0000FF"/>
      <w:u w:val="single"/>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
    <w:name w:val="正文文本缩进 Char"/>
    <w:basedOn w:val="a0"/>
    <w:link w:val="a3"/>
    <w:semiHidden/>
    <w:qFormat/>
    <w:rPr>
      <w:rFonts w:ascii="Times New Roman" w:eastAsia="宋体" w:hAnsi="Times New Roman" w:cs="Times New Roman"/>
      <w:sz w:val="28"/>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ListParagraph1">
    <w:name w:val="List Paragraph1"/>
    <w:basedOn w:val="a"/>
    <w:autoRedefine/>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F513-5968-42EA-9558-5D0478DF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237</Words>
  <Characters>1352</Characters>
  <Application>Microsoft Office Word</Application>
  <DocSecurity>0</DocSecurity>
  <Lines>11</Lines>
  <Paragraphs>3</Paragraphs>
  <ScaleCrop>false</ScaleCrop>
  <Company>Lenovo</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9</cp:revision>
  <cp:lastPrinted>2018-04-24T01:50:00Z</cp:lastPrinted>
  <dcterms:created xsi:type="dcterms:W3CDTF">2024-08-28T01:00:00Z</dcterms:created>
  <dcterms:modified xsi:type="dcterms:W3CDTF">2025-09-19T09:10:00Z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A3103118710247CFBD8037133F71E778_13</vt:lpwstr>
  </property>
  <property fmtid="{D5CDD505-2E9C-101B-9397-08002B2CF9AE}" pid="4" name="KSOTemplateDocerSaveRecord">
    <vt:lpwstr>eyJoZGlkIjoiMGYyMzhhMzNmNzJhMTU4YjMxZTc1YjkyNzFjZGE5ZTciLCJ1c2VySWQiOiIyNjU0NTI1NDMifQ==</vt:lpwstr>
  </property>
</Properties>
</file>