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03AC">
      <w:pPr>
        <w:tabs>
          <w:tab w:val="left" w:pos="3120"/>
        </w:tabs>
        <w:spacing w:line="560" w:lineRule="exact"/>
        <w:jc w:val="center"/>
        <w:rPr>
          <w:rFonts w:ascii="黑体" w:hAnsi="黑体" w:eastAsia="黑体" w:cs="DejaVu Sans"/>
          <w:kern w:val="0"/>
          <w:szCs w:val="21"/>
          <w:lang w:bidi="hi-IN"/>
        </w:rPr>
      </w:pPr>
      <w:r>
        <w:rPr>
          <w:rFonts w:ascii="黑体" w:hAnsi="黑体" w:eastAsia="黑体" w:cs="DejaVu Sans"/>
          <w:kern w:val="0"/>
          <w:szCs w:val="21"/>
          <w:lang w:bidi="hi-IN"/>
        </w:rPr>
        <w:t>证券代码：002042                  证券简称：华孚时尚                  公告编号：2026-01</w:t>
      </w:r>
    </w:p>
    <w:p w14:paraId="48CE6B89">
      <w:pPr>
        <w:tabs>
          <w:tab w:val="left" w:pos="3240"/>
        </w:tabs>
        <w:spacing w:before="312" w:beforeLines="100" w:line="560" w:lineRule="exact"/>
        <w:jc w:val="center"/>
        <w:rPr>
          <w:rFonts w:cs="DejaVu Sans" w:asciiTheme="majorEastAsia" w:hAnsiTheme="majorEastAsia" w:eastAsiaTheme="majorEastAsia"/>
          <w:b/>
          <w:kern w:val="0"/>
          <w:sz w:val="36"/>
          <w:szCs w:val="36"/>
          <w:lang w:bidi="hi-IN"/>
        </w:rPr>
      </w:pPr>
      <w:r>
        <w:rPr>
          <w:rFonts w:cs="DejaVu Sans" w:asciiTheme="majorEastAsia" w:hAnsiTheme="majorEastAsia" w:eastAsiaTheme="majorEastAsia"/>
          <w:b/>
          <w:kern w:val="0"/>
          <w:sz w:val="36"/>
          <w:szCs w:val="36"/>
          <w:lang w:bidi="hi-IN"/>
        </w:rPr>
        <w:t>华孚时尚股份有限公司</w:t>
      </w:r>
    </w:p>
    <w:p w14:paraId="17CAEBE2">
      <w:pPr>
        <w:tabs>
          <w:tab w:val="left" w:pos="3240"/>
        </w:tabs>
        <w:spacing w:before="312" w:beforeLines="100" w:line="560" w:lineRule="exact"/>
        <w:jc w:val="center"/>
        <w:rPr>
          <w:rFonts w:cs="DejaVu Sans" w:asciiTheme="majorEastAsia" w:hAnsiTheme="majorEastAsia" w:eastAsiaTheme="majorEastAsia"/>
          <w:b/>
          <w:kern w:val="0"/>
          <w:sz w:val="36"/>
          <w:szCs w:val="36"/>
          <w:lang w:bidi="hi-IN"/>
        </w:rPr>
      </w:pPr>
      <w:r>
        <w:rPr>
          <w:rFonts w:cs="DejaVu Sans" w:asciiTheme="majorEastAsia" w:hAnsiTheme="majorEastAsia" w:eastAsiaTheme="majorEastAsia"/>
          <w:b/>
          <w:kern w:val="0"/>
          <w:sz w:val="36"/>
          <w:szCs w:val="36"/>
          <w:lang w:bidi="hi-IN"/>
        </w:rPr>
        <w:t>2025年度业绩预告</w:t>
      </w:r>
    </w:p>
    <w:p w14:paraId="4CF82E1A">
      <w:pPr>
        <w:widowControl/>
        <w:spacing w:before="312" w:beforeLines="100" w:after="312" w:afterLines="100"/>
        <w:ind w:left="424" w:leftChars="202" w:right="422" w:rightChars="201" w:firstLine="420" w:firstLineChars="200"/>
        <w:rPr>
          <w:rFonts w:ascii="楷体" w:hAnsi="楷体" w:eastAsia="楷体" w:cs="宋体"/>
          <w:szCs w:val="20"/>
        </w:rPr>
      </w:pPr>
      <w:bookmarkStart w:id="0" w:name="_Toc988889"/>
      <w:r>
        <w:rPr>
          <w:rFonts w:hint="eastAsia" w:ascii="楷体" w:hAnsi="楷体" w:eastAsia="楷体" w:cs="宋体"/>
          <w:szCs w:val="20"/>
        </w:rPr>
        <w:t>本公司及董事会全体成员保证信息披露的内容真实、准确、完整，没有虚假记载、误导性陈述或重大遗漏。</w:t>
      </w:r>
    </w:p>
    <w:p w14:paraId="7E950C0F">
      <w:pPr>
        <w:pStyle w:val="6"/>
        <w:spacing w:before="156" w:beforeLines="50" w:beforeAutospacing="0" w:after="156" w:afterLines="50" w:afterAutospacing="0" w:line="500" w:lineRule="atLeast"/>
        <w:ind w:left="424" w:leftChars="202" w:right="422" w:rightChars="201" w:firstLine="482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一、本期业绩预计情况</w:t>
      </w:r>
      <w:bookmarkEnd w:id="0"/>
    </w:p>
    <w:p w14:paraId="0D179322">
      <w:pPr>
        <w:spacing w:before="100" w:after="100" w:line="400" w:lineRule="exact"/>
        <w:ind w:left="424" w:leftChars="202" w:right="422" w:rightChars="201" w:firstLine="480" w:firstLineChars="200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1、业绩预告期间：2025年1月1日至2025年12月31日。</w:t>
      </w:r>
    </w:p>
    <w:p w14:paraId="510F8212">
      <w:pPr>
        <w:spacing w:before="100" w:after="100" w:line="400" w:lineRule="exact"/>
        <w:ind w:left="424" w:leftChars="202" w:right="422" w:rightChars="201" w:firstLine="480" w:firstLineChars="200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2、业绩预告情况：预计净利润为正值且属于扭亏为盈情形</w:t>
      </w:r>
    </w:p>
    <w:p w14:paraId="7421120E">
      <w:pPr>
        <w:spacing w:before="100" w:after="100" w:line="400" w:lineRule="exact"/>
        <w:ind w:left="424" w:leftChars="202" w:right="422" w:rightChars="201" w:firstLine="480" w:firstLineChars="200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（1）以区间数进行业绩预告的</w:t>
      </w:r>
    </w:p>
    <w:p w14:paraId="6F3945F0">
      <w:pPr>
        <w:spacing w:before="200" w:line="400" w:lineRule="exact"/>
        <w:ind w:left="424" w:leftChars="202" w:right="422" w:rightChars="201"/>
        <w:jc w:val="righ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单位：万元</w:t>
      </w:r>
    </w:p>
    <w:tbl>
      <w:tblPr>
        <w:tblStyle w:val="7"/>
        <w:tblW w:w="893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15"/>
        <w:gridCol w:w="1134"/>
        <w:gridCol w:w="992"/>
        <w:gridCol w:w="1062"/>
        <w:gridCol w:w="1843"/>
      </w:tblGrid>
      <w:tr w14:paraId="66F673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3D3D3"/>
            <w:vAlign w:val="center"/>
          </w:tcPr>
          <w:p w14:paraId="734401EA">
            <w:pPr>
              <w:spacing w:before="40" w:after="40" w:line="5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项  目</w:t>
            </w:r>
          </w:p>
        </w:tc>
        <w:tc>
          <w:tcPr>
            <w:tcW w:w="51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3D3D3"/>
            <w:vAlign w:val="center"/>
          </w:tcPr>
          <w:p w14:paraId="2BC57C9A">
            <w:pPr>
              <w:spacing w:line="5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本报告期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3D3D3"/>
            <w:vAlign w:val="center"/>
          </w:tcPr>
          <w:p w14:paraId="70F9FFA4">
            <w:pPr>
              <w:spacing w:line="5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上年同期</w:t>
            </w:r>
          </w:p>
        </w:tc>
      </w:tr>
      <w:tr w14:paraId="49CCE2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8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3D3D3"/>
            <w:vAlign w:val="center"/>
          </w:tcPr>
          <w:p w14:paraId="708054B3">
            <w:pPr>
              <w:spacing w:before="40" w:after="4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归属于上市公司股东的净利润</w:t>
            </w:r>
          </w:p>
        </w:tc>
        <w:tc>
          <w:tcPr>
            <w:tcW w:w="3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E41FA9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5,500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1E6DBA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～</w:t>
            </w:r>
          </w:p>
        </w:tc>
        <w:tc>
          <w:tcPr>
            <w:tcW w:w="1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F78BC6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7,500</w:t>
            </w:r>
          </w:p>
        </w:tc>
        <w:tc>
          <w:tcPr>
            <w:tcW w:w="18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93D6D7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-20,776.5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0</w:t>
            </w:r>
          </w:p>
        </w:tc>
      </w:tr>
      <w:tr w14:paraId="2324E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381F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CBC13">
            <w:pPr>
              <w:spacing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比上年同期增长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95F398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126.47%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5D92B3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～</w:t>
            </w:r>
          </w:p>
        </w:tc>
        <w:tc>
          <w:tcPr>
            <w:tcW w:w="1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37F216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136.10%</w:t>
            </w:r>
          </w:p>
        </w:tc>
        <w:tc>
          <w:tcPr>
            <w:tcW w:w="184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F0C0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F3B6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8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3D3D3"/>
            <w:vAlign w:val="center"/>
          </w:tcPr>
          <w:p w14:paraId="0DDFC555">
            <w:pPr>
              <w:spacing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扣除非经常性损益后的净利润</w:t>
            </w:r>
          </w:p>
        </w:tc>
        <w:tc>
          <w:tcPr>
            <w:tcW w:w="3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198B0F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-7,200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B4F895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～</w:t>
            </w:r>
          </w:p>
        </w:tc>
        <w:tc>
          <w:tcPr>
            <w:tcW w:w="1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89FAD0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-5,200</w:t>
            </w:r>
          </w:p>
        </w:tc>
        <w:tc>
          <w:tcPr>
            <w:tcW w:w="18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54B32C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-35,322.69</w:t>
            </w:r>
          </w:p>
        </w:tc>
      </w:tr>
      <w:tr w14:paraId="26875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6A3B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DEAB15">
            <w:pPr>
              <w:spacing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比上年同期增长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BBB9AE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79.62%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5E0A2B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～</w:t>
            </w:r>
          </w:p>
        </w:tc>
        <w:tc>
          <w:tcPr>
            <w:tcW w:w="1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455B9C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85.28%</w:t>
            </w:r>
          </w:p>
        </w:tc>
        <w:tc>
          <w:tcPr>
            <w:tcW w:w="184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F709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CA1CC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3D3D3"/>
            <w:vAlign w:val="center"/>
          </w:tcPr>
          <w:p w14:paraId="01D1FB77">
            <w:pPr>
              <w:spacing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基本每股收益（元/股）</w:t>
            </w:r>
          </w:p>
        </w:tc>
        <w:tc>
          <w:tcPr>
            <w:tcW w:w="3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7AE61C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0.04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6AEB01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～</w:t>
            </w:r>
          </w:p>
        </w:tc>
        <w:tc>
          <w:tcPr>
            <w:tcW w:w="1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311157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0.05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0BB25C">
            <w:pPr>
              <w:spacing w:line="400" w:lineRule="exact"/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-0.12</w:t>
            </w:r>
          </w:p>
        </w:tc>
      </w:tr>
    </w:tbl>
    <w:p w14:paraId="2D4F126C">
      <w:pPr>
        <w:pStyle w:val="6"/>
        <w:spacing w:before="156" w:beforeLines="50" w:beforeAutospacing="0" w:after="156" w:afterLines="50" w:afterAutospacing="0" w:line="500" w:lineRule="atLeast"/>
        <w:ind w:left="424" w:leftChars="202" w:right="422" w:rightChars="201" w:firstLine="482"/>
        <w:rPr>
          <w:rFonts w:asciiTheme="minorEastAsia" w:hAnsiTheme="minorEastAsia" w:eastAsiaTheme="minorEastAsia"/>
          <w:b/>
        </w:rPr>
      </w:pPr>
      <w:bookmarkStart w:id="1" w:name="_Toc988890"/>
      <w:r>
        <w:rPr>
          <w:rFonts w:asciiTheme="minorEastAsia" w:hAnsiTheme="minorEastAsia" w:eastAsiaTheme="minorEastAsia"/>
          <w:b/>
        </w:rPr>
        <w:t>二、与会计师事务所沟通情况</w:t>
      </w:r>
      <w:bookmarkEnd w:id="1"/>
    </w:p>
    <w:p w14:paraId="63748A08">
      <w:pPr>
        <w:tabs>
          <w:tab w:val="left" w:pos="3240"/>
        </w:tabs>
        <w:spacing w:line="500" w:lineRule="exact"/>
        <w:ind w:left="424" w:leftChars="202" w:right="422" w:rightChars="201" w:firstLine="480" w:firstLineChars="200"/>
        <w:jc w:val="both"/>
        <w:rPr>
          <w:rFonts w:cs="DejaVu Sans" w:asciiTheme="minorEastAsia" w:hAnsiTheme="minorEastAsia"/>
          <w:kern w:val="0"/>
          <w:sz w:val="24"/>
          <w:szCs w:val="24"/>
          <w:lang w:bidi="hi-IN"/>
        </w:rPr>
      </w:pPr>
      <w:r>
        <w:rPr>
          <w:rFonts w:hint="eastAsia" w:cs="DejaVu Sans" w:asciiTheme="minorEastAsia" w:hAnsiTheme="minorEastAsia"/>
          <w:kern w:val="0"/>
          <w:sz w:val="24"/>
          <w:szCs w:val="24"/>
          <w:lang w:bidi="hi-IN"/>
        </w:rPr>
        <w:t>公司就本次业绩预告有关事项与会计师事务所进行了预沟通，公司与会计师事务所在业绩预告方面不存在较大分歧。</w:t>
      </w:r>
    </w:p>
    <w:p w14:paraId="79E761A0">
      <w:pPr>
        <w:pStyle w:val="6"/>
        <w:spacing w:before="156" w:beforeLines="50" w:beforeAutospacing="0" w:after="156" w:afterLines="50" w:afterAutospacing="0" w:line="500" w:lineRule="atLeast"/>
        <w:ind w:left="424" w:leftChars="202" w:right="422" w:rightChars="201" w:firstLine="482"/>
        <w:rPr>
          <w:rFonts w:asciiTheme="minorEastAsia" w:hAnsiTheme="minorEastAsia" w:eastAsiaTheme="minorEastAsia"/>
          <w:b/>
        </w:rPr>
      </w:pPr>
      <w:bookmarkStart w:id="2" w:name="_Toc988891"/>
      <w:r>
        <w:rPr>
          <w:rFonts w:asciiTheme="minorEastAsia" w:hAnsiTheme="minorEastAsia" w:eastAsiaTheme="minorEastAsia"/>
          <w:b/>
        </w:rPr>
        <w:t>三、业绩变动原因说明</w:t>
      </w:r>
      <w:bookmarkEnd w:id="2"/>
    </w:p>
    <w:p w14:paraId="59AC4F10">
      <w:pPr>
        <w:pStyle w:val="6"/>
        <w:spacing w:before="0" w:beforeAutospacing="0" w:after="0" w:afterAutospacing="0" w:line="500" w:lineRule="atLeast"/>
        <w:ind w:left="424" w:leftChars="202" w:right="422" w:rightChars="201" w:firstLine="480"/>
        <w:jc w:val="both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报告期内，公司把握市场趋稳恢复及结构性增长机会，主业订单回暖，共享产业效益提升，科技新业开拓取得突破，同时优化存量资产结构，实现业绩扭亏为盈。未来公司将筑牢纱线主业基本盘，深化</w:t>
      </w:r>
      <w:r>
        <w:rPr>
          <w:rFonts w:hint="eastAsia" w:asciiTheme="minorEastAsia" w:hAnsiTheme="minorEastAsia" w:eastAsiaTheme="minorEastAsia"/>
          <w:lang w:val="en-US" w:eastAsia="zh-CN"/>
        </w:rPr>
        <w:t>产业链</w:t>
      </w:r>
      <w:bookmarkStart w:id="5" w:name="_GoBack"/>
      <w:bookmarkEnd w:id="5"/>
      <w:r>
        <w:rPr>
          <w:rFonts w:hint="eastAsia" w:asciiTheme="minorEastAsia" w:hAnsiTheme="minorEastAsia" w:eastAsiaTheme="minorEastAsia"/>
        </w:rPr>
        <w:t>布局，以算力和人工智能强化创新赋能。</w:t>
      </w:r>
    </w:p>
    <w:p w14:paraId="59F7A23D">
      <w:pPr>
        <w:pStyle w:val="6"/>
        <w:spacing w:before="156" w:beforeLines="50" w:beforeAutospacing="0" w:after="156" w:afterLines="50" w:afterAutospacing="0" w:line="500" w:lineRule="atLeast"/>
        <w:ind w:left="424" w:leftChars="202" w:right="422" w:rightChars="201" w:firstLine="482"/>
        <w:rPr>
          <w:rFonts w:asciiTheme="minorEastAsia" w:hAnsiTheme="minorEastAsia" w:eastAsiaTheme="minorEastAsia"/>
          <w:b/>
        </w:rPr>
      </w:pPr>
      <w:bookmarkStart w:id="3" w:name="_Toc988892"/>
      <w:r>
        <w:rPr>
          <w:rFonts w:asciiTheme="minorEastAsia" w:hAnsiTheme="minorEastAsia" w:eastAsiaTheme="minorEastAsia"/>
          <w:b/>
        </w:rPr>
        <w:t>四、风险提示</w:t>
      </w:r>
      <w:bookmarkEnd w:id="3"/>
    </w:p>
    <w:p w14:paraId="69BC3031">
      <w:pPr>
        <w:pStyle w:val="6"/>
        <w:spacing w:before="0" w:beforeAutospacing="0" w:after="0" w:afterAutospacing="0" w:line="500" w:lineRule="atLeast"/>
        <w:ind w:left="424" w:leftChars="202" w:right="422" w:rightChars="201" w:firstLine="480"/>
        <w:jc w:val="both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本次业绩预告数据是公司财务部门初步估算的结果，未经审计机构审计，具体财务数据将在本公司2025年度报告中详细披露，敬请广大投资者注意投资风险！</w:t>
      </w:r>
    </w:p>
    <w:p w14:paraId="27679B86">
      <w:pPr>
        <w:pStyle w:val="6"/>
        <w:spacing w:before="0" w:beforeAutospacing="0" w:after="0" w:afterAutospacing="0" w:line="500" w:lineRule="atLeast"/>
        <w:ind w:left="424" w:leftChars="202" w:right="422" w:rightChars="201" w:firstLine="480"/>
        <w:jc w:val="both"/>
        <w:rPr>
          <w:rFonts w:asciiTheme="minorEastAsia" w:hAnsiTheme="minorEastAsia" w:eastAsiaTheme="minorEastAsia"/>
        </w:rPr>
      </w:pPr>
      <w:bookmarkStart w:id="4" w:name="_Toc988893"/>
      <w:bookmarkEnd w:id="4"/>
    </w:p>
    <w:p w14:paraId="624F9BA6">
      <w:pPr>
        <w:pStyle w:val="6"/>
        <w:spacing w:before="156" w:beforeLines="50" w:beforeAutospacing="0" w:after="156" w:afterLines="50" w:afterAutospacing="0" w:line="500" w:lineRule="atLeast"/>
        <w:ind w:left="424" w:leftChars="202" w:right="422" w:rightChars="201" w:firstLine="482"/>
        <w:jc w:val="both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特此公告。</w:t>
      </w:r>
    </w:p>
    <w:p w14:paraId="2FAE340B">
      <w:pPr>
        <w:spacing w:before="100" w:after="100" w:line="560" w:lineRule="exact"/>
        <w:ind w:left="424" w:leftChars="202" w:right="422" w:rightChars="201"/>
        <w:jc w:val="right"/>
        <w:rPr>
          <w:rFonts w:cs="宋体" w:asciiTheme="minorEastAsia" w:hAnsiTheme="minorEastAsia"/>
          <w:b/>
          <w:sz w:val="24"/>
          <w:szCs w:val="24"/>
        </w:rPr>
      </w:pPr>
      <w:r>
        <w:rPr>
          <w:rFonts w:cs="宋体" w:asciiTheme="minorEastAsia" w:hAnsiTheme="minorEastAsia"/>
          <w:b/>
          <w:sz w:val="24"/>
          <w:szCs w:val="24"/>
        </w:rPr>
        <w:t>华孚时尚股份有限公司董事会</w:t>
      </w:r>
    </w:p>
    <w:p w14:paraId="2E81BDD1">
      <w:pPr>
        <w:spacing w:before="100" w:after="100" w:line="560" w:lineRule="exact"/>
        <w:ind w:left="424" w:leftChars="202" w:right="422" w:rightChars="201"/>
        <w:jc w:val="right"/>
        <w:rPr>
          <w:rFonts w:cs="宋体" w:asciiTheme="minorEastAsia" w:hAnsiTheme="minorEastAsia"/>
          <w:b/>
          <w:sz w:val="24"/>
          <w:szCs w:val="24"/>
        </w:rPr>
      </w:pPr>
      <w:r>
        <w:rPr>
          <w:rFonts w:cs="宋体" w:asciiTheme="minorEastAsia" w:hAnsiTheme="minorEastAsia"/>
          <w:b/>
          <w:sz w:val="24"/>
          <w:szCs w:val="24"/>
        </w:rPr>
        <w:t>2026年01月31日</w:t>
      </w:r>
    </w:p>
    <w:sectPr>
      <w:pgSz w:w="11905" w:h="16840"/>
      <w:pgMar w:top="1440" w:right="1134" w:bottom="1440" w:left="1134" w:header="850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rsids>
    <w:rsidRoot w:val="00CD6056"/>
    <w:rsid w:val="00683501"/>
    <w:rsid w:val="006D1F56"/>
    <w:rsid w:val="00763397"/>
    <w:rsid w:val="00CD6056"/>
    <w:rsid w:val="00F60E5C"/>
    <w:rsid w:val="18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56" w:after="156"/>
      <w:outlineLvl w:val="1"/>
    </w:pPr>
    <w:rPr>
      <w:szCs w:val="21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300" w:after="300" w:line="241" w:lineRule="auto"/>
      <w:jc w:val="both"/>
      <w:outlineLvl w:val="2"/>
    </w:pPr>
    <w:rPr>
      <w:rFonts w:eastAsia="宋体"/>
      <w:szCs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autoRedefine/>
    <w:uiPriority w:val="39"/>
  </w:style>
  <w:style w:type="paragraph" w:styleId="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Header 1"/>
    <w:uiPriority w:val="0"/>
    <w:pPr>
      <w:jc w:val="right"/>
    </w:pPr>
    <w:rPr>
      <w:rFonts w:ascii="宋体" w:eastAsia="宋体" w:hAnsiTheme="minorHAnsi" w:cstheme="minorBidi"/>
      <w:kern w:val="2"/>
      <w:sz w:val="18"/>
      <w:szCs w:val="18"/>
      <w:lang w:val="en-US" w:eastAsia="zh-CN" w:bidi="ar-SA"/>
    </w:rPr>
  </w:style>
  <w:style w:type="paragraph" w:customStyle="1" w:styleId="10">
    <w:name w:val="heading h1"/>
    <w:basedOn w:val="1"/>
    <w:next w:val="1"/>
    <w:qFormat/>
    <w:uiPriority w:val="9"/>
    <w:pPr>
      <w:keepNext/>
      <w:keepLines/>
      <w:spacing w:before="240" w:after="240" w:line="578" w:lineRule="auto"/>
      <w:outlineLvl w:val="0"/>
    </w:pPr>
    <w:rPr>
      <w:kern w:val="44"/>
      <w:sz w:val="44"/>
      <w:szCs w:val="44"/>
    </w:rPr>
  </w:style>
  <w:style w:type="paragraph" w:customStyle="1" w:styleId="11">
    <w:name w:val="fotter 1"/>
    <w:uiPriority w:val="0"/>
    <w:pPr>
      <w:jc w:val="right"/>
    </w:pPr>
    <w:rPr>
      <w:rFonts w:ascii="宋体" w:eastAsia="宋体" w:hAnsiTheme="minorHAns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523</Words>
  <Characters>621</Characters>
  <Lines>5</Lines>
  <Paragraphs>1</Paragraphs>
  <TotalTime>4</TotalTime>
  <ScaleCrop>false</ScaleCrop>
  <LinksUpToDate>false</LinksUpToDate>
  <CharactersWithSpaces>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2026-01-30T06:44:00Z</dcterms:created>
  <dc:creator>孙献</dc:creator>
  <cp:lastModifiedBy>WSY</cp:lastModifiedBy>
  <dcterms:modified xsi:type="dcterms:W3CDTF">2026-01-30T07:35:35Z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eyJoZGlkIjoiMGYyMzhhMzNmNzJhMTU4YjMxZTc1YjkyNzFjZGE5ZTciLCJ1c2VySWQiOiIyNjU0NTI1NDMifQ==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20E16BE2B66A4ECDA9500AE1D3C937D1_12</vt:lpwstr>
  </property>
</Properties>
</file>