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8B23E">
      <w:pPr>
        <w:spacing w:line="440" w:lineRule="exact"/>
        <w:jc w:val="center"/>
        <w:rPr>
          <w:rFonts w:ascii="黑体" w:hAnsi="黑体" w:eastAsia="黑体"/>
          <w:bCs/>
          <w:kern w:val="0"/>
          <w:szCs w:val="21"/>
        </w:rPr>
      </w:pPr>
      <w:r>
        <w:rPr>
          <w:rFonts w:ascii="黑体" w:hAnsi="黑体" w:eastAsia="黑体"/>
          <w:bCs/>
          <w:kern w:val="0"/>
          <w:szCs w:val="21"/>
        </w:rPr>
        <w:t xml:space="preserve">证券代码：002042    </w:t>
      </w:r>
      <w:r>
        <w:rPr>
          <w:rFonts w:hint="eastAsia" w:ascii="黑体" w:hAnsi="黑体" w:eastAsia="黑体"/>
          <w:bCs/>
          <w:kern w:val="0"/>
          <w:szCs w:val="21"/>
        </w:rPr>
        <w:t xml:space="preserve">        </w:t>
      </w:r>
      <w:r>
        <w:rPr>
          <w:rFonts w:ascii="黑体" w:hAnsi="黑体" w:eastAsia="黑体"/>
          <w:bCs/>
          <w:kern w:val="0"/>
          <w:szCs w:val="21"/>
        </w:rPr>
        <w:t xml:space="preserve">  证券简称：华孚时尚    </w:t>
      </w:r>
      <w:r>
        <w:rPr>
          <w:rFonts w:hint="eastAsia" w:ascii="黑体" w:hAnsi="黑体" w:eastAsia="黑体"/>
          <w:bCs/>
          <w:kern w:val="0"/>
          <w:szCs w:val="21"/>
        </w:rPr>
        <w:t xml:space="preserve">    </w:t>
      </w:r>
      <w:r>
        <w:rPr>
          <w:rFonts w:ascii="黑体" w:hAnsi="黑体" w:eastAsia="黑体"/>
          <w:bCs/>
          <w:kern w:val="0"/>
          <w:szCs w:val="21"/>
        </w:rPr>
        <w:t xml:space="preserve">   </w:t>
      </w:r>
      <w:r>
        <w:rPr>
          <w:rFonts w:hint="eastAsia" w:ascii="黑体" w:hAnsi="黑体" w:eastAsia="黑体"/>
          <w:bCs/>
          <w:kern w:val="0"/>
          <w:szCs w:val="21"/>
        </w:rPr>
        <w:t xml:space="preserve">   </w:t>
      </w:r>
      <w:r>
        <w:rPr>
          <w:rFonts w:ascii="黑体" w:hAnsi="黑体" w:eastAsia="黑体"/>
          <w:bCs/>
          <w:kern w:val="0"/>
          <w:szCs w:val="21"/>
        </w:rPr>
        <w:t>公告编号：</w:t>
      </w:r>
      <w:r>
        <w:rPr>
          <w:rFonts w:hint="eastAsia" w:ascii="黑体" w:hAnsi="黑体" w:eastAsia="黑体"/>
          <w:bCs/>
          <w:kern w:val="0"/>
          <w:szCs w:val="21"/>
        </w:rPr>
        <w:t>2026-03</w:t>
      </w:r>
    </w:p>
    <w:p w14:paraId="647C40DB">
      <w:pPr>
        <w:autoSpaceDE w:val="0"/>
        <w:autoSpaceDN w:val="0"/>
        <w:adjustRightInd w:val="0"/>
        <w:rPr>
          <w:rFonts w:asciiTheme="minorEastAsia" w:hAnsiTheme="minorEastAsia" w:eastAsiaTheme="minorEastAsia"/>
          <w:b/>
          <w:kern w:val="0"/>
          <w:sz w:val="36"/>
          <w:szCs w:val="36"/>
        </w:rPr>
      </w:pPr>
    </w:p>
    <w:p w14:paraId="3E4F2037">
      <w:pPr>
        <w:autoSpaceDE w:val="0"/>
        <w:autoSpaceDN w:val="0"/>
        <w:adjustRightInd w:val="0"/>
        <w:jc w:val="center"/>
        <w:rPr>
          <w:rFonts w:asciiTheme="minorEastAsia" w:hAnsiTheme="minorEastAsia" w:eastAsiaTheme="minorEastAsia"/>
          <w:b/>
          <w:kern w:val="0"/>
          <w:sz w:val="36"/>
          <w:szCs w:val="36"/>
        </w:rPr>
      </w:pPr>
      <w:r>
        <w:rPr>
          <w:rFonts w:asciiTheme="minorEastAsia" w:hAnsiTheme="minorEastAsia" w:eastAsiaTheme="minorEastAsia"/>
          <w:b/>
          <w:kern w:val="0"/>
          <w:sz w:val="36"/>
          <w:szCs w:val="36"/>
        </w:rPr>
        <w:t>华孚时尚股份有限公司</w:t>
      </w:r>
    </w:p>
    <w:p w14:paraId="41FA08A6">
      <w:pPr>
        <w:autoSpaceDE w:val="0"/>
        <w:autoSpaceDN w:val="0"/>
        <w:adjustRightInd w:val="0"/>
        <w:jc w:val="center"/>
        <w:rPr>
          <w:rFonts w:asciiTheme="minorEastAsia" w:hAnsiTheme="minorEastAsia" w:eastAsiaTheme="minorEastAsia"/>
          <w:b/>
          <w:kern w:val="0"/>
          <w:sz w:val="36"/>
          <w:szCs w:val="36"/>
        </w:rPr>
      </w:pPr>
      <w:r>
        <w:rPr>
          <w:rFonts w:hint="eastAsia" w:asciiTheme="minorEastAsia" w:hAnsiTheme="minorEastAsia" w:eastAsiaTheme="minorEastAsia"/>
          <w:b/>
          <w:kern w:val="0"/>
          <w:sz w:val="36"/>
          <w:szCs w:val="36"/>
        </w:rPr>
        <w:t>关于以集中竞价交易方式出售2023年期已回购股份计划的公告</w:t>
      </w:r>
    </w:p>
    <w:p w14:paraId="0EC783D5">
      <w:pPr>
        <w:autoSpaceDE w:val="0"/>
        <w:autoSpaceDN w:val="0"/>
        <w:adjustRightInd w:val="0"/>
        <w:ind w:firstLine="480" w:firstLineChars="200"/>
        <w:jc w:val="left"/>
        <w:rPr>
          <w:rFonts w:ascii="Times New Roman" w:hAnsi="Times New Roman" w:eastAsia="楷体_GB2312"/>
          <w:kern w:val="0"/>
          <w:sz w:val="24"/>
          <w:szCs w:val="24"/>
        </w:rPr>
      </w:pPr>
    </w:p>
    <w:p w14:paraId="4F312072">
      <w:pPr>
        <w:autoSpaceDE w:val="0"/>
        <w:autoSpaceDN w:val="0"/>
        <w:adjustRightInd w:val="0"/>
        <w:ind w:firstLine="480" w:firstLineChars="200"/>
        <w:jc w:val="left"/>
        <w:rPr>
          <w:rFonts w:ascii="Times New Roman" w:hAnsi="Times New Roman" w:eastAsia="楷体_GB2312"/>
          <w:kern w:val="0"/>
          <w:sz w:val="24"/>
          <w:szCs w:val="24"/>
        </w:rPr>
      </w:pPr>
      <w:r>
        <w:rPr>
          <w:rFonts w:ascii="Times New Roman" w:hAnsi="Times New Roman" w:eastAsia="楷体_GB2312"/>
          <w:kern w:val="0"/>
          <w:sz w:val="24"/>
          <w:szCs w:val="24"/>
        </w:rPr>
        <w:t>本公司及</w:t>
      </w:r>
      <w:r>
        <w:rPr>
          <w:rFonts w:hint="eastAsia" w:ascii="Times New Roman" w:hAnsi="Times New Roman" w:eastAsia="楷体_GB2312"/>
          <w:kern w:val="0"/>
          <w:sz w:val="24"/>
          <w:szCs w:val="24"/>
        </w:rPr>
        <w:t>董</w:t>
      </w:r>
      <w:r>
        <w:rPr>
          <w:rFonts w:ascii="Times New Roman" w:hAnsi="Times New Roman" w:eastAsia="楷体_GB2312"/>
          <w:kern w:val="0"/>
          <w:sz w:val="24"/>
          <w:szCs w:val="24"/>
        </w:rPr>
        <w:t>事会全体成员保证信息披露的内容真实、准确、完整，没有虚假记载、误导性陈述或重大遗漏。</w:t>
      </w:r>
    </w:p>
    <w:p w14:paraId="358AB914">
      <w:pPr>
        <w:spacing w:line="280" w:lineRule="exact"/>
        <w:ind w:firstLine="39" w:firstLineChars="196"/>
        <w:rPr>
          <w:rFonts w:asciiTheme="minorEastAsia" w:hAnsiTheme="minorEastAsia" w:eastAsiaTheme="minorEastAsia"/>
          <w:kern w:val="0"/>
          <w:sz w:val="2"/>
          <w:szCs w:val="24"/>
        </w:rPr>
      </w:pPr>
    </w:p>
    <w:p w14:paraId="5EF9379F">
      <w:p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华孚时尚股份有限公司</w:t>
      </w:r>
      <w:r>
        <w:rPr>
          <w:rFonts w:asciiTheme="minorEastAsia" w:hAnsiTheme="minorEastAsia" w:eastAsiaTheme="minorEastAsia"/>
          <w:kern w:val="0"/>
          <w:sz w:val="24"/>
          <w:szCs w:val="24"/>
        </w:rPr>
        <w:t>（以下简称“公司”）于</w:t>
      </w:r>
      <w:r>
        <w:rPr>
          <w:rFonts w:hint="eastAsia" w:asciiTheme="minorEastAsia" w:hAnsiTheme="minorEastAsia" w:eastAsiaTheme="minorEastAsia"/>
          <w:kern w:val="0"/>
          <w:sz w:val="24"/>
          <w:szCs w:val="24"/>
        </w:rPr>
        <w:t>2026</w:t>
      </w:r>
      <w:r>
        <w:rPr>
          <w:rFonts w:asciiTheme="minorEastAsia" w:hAnsiTheme="minorEastAsia" w:eastAsiaTheme="minorEastAsia"/>
          <w:kern w:val="0"/>
          <w:sz w:val="24"/>
          <w:szCs w:val="24"/>
        </w:rPr>
        <w:t>年</w:t>
      </w:r>
      <w:r>
        <w:rPr>
          <w:rFonts w:hint="eastAsia" w:asciiTheme="minorEastAsia" w:hAnsiTheme="minorEastAsia" w:eastAsiaTheme="minorEastAsia"/>
          <w:kern w:val="0"/>
          <w:sz w:val="24"/>
          <w:szCs w:val="24"/>
        </w:rPr>
        <w:t>2</w:t>
      </w:r>
      <w:r>
        <w:rPr>
          <w:rFonts w:asciiTheme="minorEastAsia" w:hAnsiTheme="minorEastAsia" w:eastAsiaTheme="minorEastAsia"/>
          <w:kern w:val="0"/>
          <w:sz w:val="24"/>
          <w:szCs w:val="24"/>
        </w:rPr>
        <w:t>月</w:t>
      </w:r>
      <w:r>
        <w:rPr>
          <w:rFonts w:hint="eastAsia" w:asciiTheme="minorEastAsia" w:hAnsiTheme="minorEastAsia" w:eastAsiaTheme="minorEastAsia"/>
          <w:kern w:val="0"/>
          <w:sz w:val="24"/>
          <w:szCs w:val="24"/>
        </w:rPr>
        <w:t>11</w:t>
      </w:r>
      <w:r>
        <w:rPr>
          <w:rFonts w:asciiTheme="minorEastAsia" w:hAnsiTheme="minorEastAsia" w:eastAsiaTheme="minorEastAsia"/>
          <w:kern w:val="0"/>
          <w:sz w:val="24"/>
          <w:szCs w:val="24"/>
        </w:rPr>
        <w:t>日召开</w:t>
      </w:r>
      <w:r>
        <w:rPr>
          <w:rFonts w:hint="eastAsia" w:asciiTheme="minorEastAsia" w:hAnsiTheme="minorEastAsia" w:eastAsiaTheme="minorEastAsia"/>
          <w:kern w:val="0"/>
          <w:sz w:val="24"/>
          <w:szCs w:val="24"/>
        </w:rPr>
        <w:t>第九届董事会2026年第一次临时会议</w:t>
      </w:r>
      <w:r>
        <w:rPr>
          <w:rFonts w:asciiTheme="minorEastAsia" w:hAnsiTheme="minorEastAsia" w:eastAsiaTheme="minorEastAsia"/>
          <w:kern w:val="0"/>
          <w:sz w:val="24"/>
          <w:szCs w:val="24"/>
        </w:rPr>
        <w:t>，审议通过了《</w:t>
      </w:r>
      <w:r>
        <w:rPr>
          <w:rFonts w:hint="eastAsia" w:asciiTheme="minorEastAsia" w:hAnsiTheme="minorEastAsia" w:eastAsiaTheme="minorEastAsia"/>
          <w:kern w:val="0"/>
          <w:sz w:val="24"/>
          <w:szCs w:val="24"/>
        </w:rPr>
        <w:t>关于以集中竞价交易方式出售2023年期已回购股份计划的议案</w:t>
      </w:r>
      <w:r>
        <w:rPr>
          <w:rFonts w:asciiTheme="minorEastAsia" w:hAnsiTheme="minorEastAsia" w:eastAsiaTheme="minorEastAsia"/>
          <w:kern w:val="0"/>
          <w:sz w:val="24"/>
          <w:szCs w:val="24"/>
        </w:rPr>
        <w:t>》，同意公司自本公告披露之日起15个交易日后以集中竞价方式出售</w:t>
      </w:r>
      <w:r>
        <w:rPr>
          <w:rFonts w:hint="eastAsia" w:asciiTheme="minorEastAsia" w:hAnsiTheme="minorEastAsia" w:eastAsiaTheme="minorEastAsia"/>
          <w:kern w:val="0"/>
          <w:sz w:val="24"/>
          <w:szCs w:val="24"/>
        </w:rPr>
        <w:t>2023年期</w:t>
      </w:r>
      <w:r>
        <w:rPr>
          <w:rFonts w:asciiTheme="minorEastAsia" w:hAnsiTheme="minorEastAsia" w:eastAsiaTheme="minorEastAsia"/>
          <w:kern w:val="0"/>
          <w:sz w:val="24"/>
          <w:szCs w:val="24"/>
        </w:rPr>
        <w:t>已回购股份,</w:t>
      </w:r>
      <w:r>
        <w:rPr>
          <w:rFonts w:hint="eastAsia" w:asciiTheme="minorEastAsia" w:hAnsiTheme="minorEastAsia" w:eastAsiaTheme="minorEastAsia"/>
          <w:kern w:val="0"/>
          <w:sz w:val="24"/>
          <w:szCs w:val="24"/>
        </w:rPr>
        <w:t>实施期限为</w:t>
      </w:r>
      <w:r>
        <w:rPr>
          <w:rFonts w:asciiTheme="minorEastAsia" w:hAnsiTheme="minorEastAsia" w:eastAsiaTheme="minorEastAsia"/>
          <w:kern w:val="0"/>
          <w:sz w:val="24"/>
          <w:szCs w:val="24"/>
        </w:rPr>
        <w:t>202</w:t>
      </w: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年</w:t>
      </w:r>
      <w:r>
        <w:rPr>
          <w:rFonts w:hint="eastAsia" w:asciiTheme="minorEastAsia" w:hAnsiTheme="minorEastAsia" w:eastAsiaTheme="minorEastAsia"/>
          <w:kern w:val="0"/>
          <w:sz w:val="24"/>
          <w:szCs w:val="24"/>
        </w:rPr>
        <w:t>3</w:t>
      </w:r>
      <w:r>
        <w:rPr>
          <w:rFonts w:asciiTheme="minorEastAsia" w:hAnsiTheme="minorEastAsia" w:eastAsiaTheme="minorEastAsia"/>
          <w:kern w:val="0"/>
          <w:sz w:val="24"/>
          <w:szCs w:val="24"/>
        </w:rPr>
        <w:t>月</w:t>
      </w:r>
      <w:r>
        <w:rPr>
          <w:rFonts w:hint="eastAsia" w:asciiTheme="minorEastAsia" w:hAnsiTheme="minorEastAsia" w:eastAsiaTheme="minorEastAsia"/>
          <w:kern w:val="0"/>
          <w:sz w:val="24"/>
          <w:szCs w:val="24"/>
        </w:rPr>
        <w:t>1</w:t>
      </w:r>
      <w:r>
        <w:rPr>
          <w:rFonts w:hint="eastAsia" w:asciiTheme="minorEastAsia" w:hAnsiTheme="minorEastAsia" w:eastAsiaTheme="minorEastAsia"/>
          <w:kern w:val="0"/>
          <w:sz w:val="24"/>
          <w:szCs w:val="24"/>
          <w:lang w:val="en-US" w:eastAsia="zh-CN"/>
        </w:rPr>
        <w:t>6</w:t>
      </w:r>
      <w:r>
        <w:rPr>
          <w:rFonts w:asciiTheme="minorEastAsia" w:hAnsiTheme="minorEastAsia" w:eastAsiaTheme="minorEastAsia"/>
          <w:kern w:val="0"/>
          <w:sz w:val="24"/>
          <w:szCs w:val="24"/>
        </w:rPr>
        <w:t>日至202</w:t>
      </w: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年</w:t>
      </w: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月</w:t>
      </w:r>
      <w:r>
        <w:rPr>
          <w:rFonts w:hint="eastAsia" w:asciiTheme="minorEastAsia" w:hAnsiTheme="minorEastAsia" w:eastAsiaTheme="minorEastAsia"/>
          <w:kern w:val="0"/>
          <w:sz w:val="24"/>
          <w:szCs w:val="24"/>
        </w:rPr>
        <w:t>19</w:t>
      </w:r>
      <w:r>
        <w:rPr>
          <w:rFonts w:asciiTheme="minorEastAsia" w:hAnsiTheme="minorEastAsia" w:eastAsiaTheme="minorEastAsia"/>
          <w:kern w:val="0"/>
          <w:sz w:val="24"/>
          <w:szCs w:val="24"/>
        </w:rPr>
        <w:t>日</w:t>
      </w:r>
      <w:r>
        <w:rPr>
          <w:rFonts w:hint="eastAsia" w:asciiTheme="minorEastAsia" w:hAnsiTheme="minorEastAsia" w:eastAsiaTheme="minorEastAsia"/>
          <w:kern w:val="0"/>
          <w:sz w:val="24"/>
          <w:szCs w:val="24"/>
        </w:rPr>
        <w:t>，</w:t>
      </w:r>
      <w:r>
        <w:rPr>
          <w:rFonts w:asciiTheme="minorEastAsia" w:hAnsiTheme="minorEastAsia" w:eastAsiaTheme="minorEastAsia"/>
          <w:kern w:val="0"/>
          <w:sz w:val="24"/>
          <w:szCs w:val="24"/>
        </w:rPr>
        <w:t>拟出售回购股份不超过31,275,31</w:t>
      </w:r>
      <w:r>
        <w:rPr>
          <w:rFonts w:hint="eastAsia" w:asciiTheme="minorEastAsia" w:hAnsiTheme="minorEastAsia" w:eastAsiaTheme="minorEastAsia"/>
          <w:kern w:val="0"/>
          <w:sz w:val="24"/>
          <w:szCs w:val="24"/>
        </w:rPr>
        <w:t>4</w:t>
      </w:r>
      <w:r>
        <w:rPr>
          <w:rFonts w:asciiTheme="minorEastAsia" w:hAnsiTheme="minorEastAsia" w:eastAsiaTheme="minorEastAsia"/>
          <w:kern w:val="0"/>
          <w:sz w:val="24"/>
          <w:szCs w:val="24"/>
        </w:rPr>
        <w:t>股（即占公司当前总股本的1.</w:t>
      </w:r>
      <w:r>
        <w:rPr>
          <w:rFonts w:hint="eastAsia" w:asciiTheme="minorEastAsia" w:hAnsiTheme="minorEastAsia" w:eastAsiaTheme="minorEastAsia"/>
          <w:kern w:val="0"/>
          <w:sz w:val="24"/>
          <w:szCs w:val="24"/>
        </w:rPr>
        <w:t>84</w:t>
      </w:r>
      <w:r>
        <w:rPr>
          <w:rFonts w:asciiTheme="minorEastAsia" w:hAnsiTheme="minorEastAsia" w:eastAsiaTheme="minorEastAsia"/>
          <w:kern w:val="0"/>
          <w:sz w:val="24"/>
          <w:szCs w:val="24"/>
        </w:rPr>
        <w:t>%），出售价格根据二级市场价格确定。具体情况如下</w:t>
      </w:r>
      <w:r>
        <w:rPr>
          <w:rFonts w:hint="eastAsia" w:asciiTheme="minorEastAsia" w:hAnsiTheme="minorEastAsia" w:eastAsiaTheme="minorEastAsia"/>
          <w:kern w:val="0"/>
          <w:sz w:val="24"/>
          <w:szCs w:val="24"/>
        </w:rPr>
        <w:t>。</w:t>
      </w:r>
    </w:p>
    <w:p w14:paraId="2CDA5B0B">
      <w:pPr>
        <w:autoSpaceDE w:val="0"/>
        <w:autoSpaceDN w:val="0"/>
        <w:adjustRightInd w:val="0"/>
        <w:spacing w:line="360" w:lineRule="auto"/>
        <w:ind w:firstLine="482" w:firstLineChars="200"/>
        <w:rPr>
          <w:rFonts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一、2023年期已回购股份基本情况</w:t>
      </w:r>
    </w:p>
    <w:p w14:paraId="21672BCC">
      <w:p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公司</w:t>
      </w:r>
      <w:r>
        <w:rPr>
          <w:rFonts w:asciiTheme="minorEastAsia" w:hAnsiTheme="minorEastAsia" w:eastAsiaTheme="minorEastAsia"/>
          <w:kern w:val="0"/>
          <w:sz w:val="24"/>
          <w:szCs w:val="24"/>
        </w:rPr>
        <w:t>于2023年3月17日召开第八届董事会2023年第一次临时会议，审议通过了《关于2023年回购公司股份方案的议案》，公司拟使用自有资金以集中竞价交易方式回购已发行的人民币普通股（A股）股份，回购股份用于维护公司价值及股东权益，后续将按相关规定予以出售。回购总金额为不低于人民币10,000万元,不超过人民币20,000万元，回购价格不超过4.60元/股，回购股份的实施期限为自董事会审议通过本次回购股份方案之日起不超过三个月。详见公司于2023年3月18日刊登在《中国证券报》、《证券时报》及巨潮资讯网（www.cninfo.com.cn）上的《关于2023年回购公司股份方案的公告》（2023-07）。</w:t>
      </w:r>
    </w:p>
    <w:p w14:paraId="510CD35F">
      <w:p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截至2023年6月16日，公司本次股份回购已完成。在回购期间，公司通过股份回购专用证券账户以集中竞价交易方式累计回购公司股票31,275,314股，占公司总股本的1.84%（以公司截止2023年6月16日总股本1,700,681,355股为基准），实际回购期间为2023年3月20日至2023年6月16日，其中最高成交价为3.28元/股，最低成交价为3.12元/股，成交总金额为人民100,128,238.70元（不含交易费用）。详见公司于2023年</w:t>
      </w: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月</w:t>
      </w:r>
      <w:r>
        <w:rPr>
          <w:rFonts w:hint="eastAsia" w:asciiTheme="minorEastAsia" w:hAnsiTheme="minorEastAsia" w:eastAsiaTheme="minorEastAsia"/>
          <w:kern w:val="0"/>
          <w:sz w:val="24"/>
          <w:szCs w:val="24"/>
        </w:rPr>
        <w:t>20</w:t>
      </w:r>
      <w:r>
        <w:rPr>
          <w:rFonts w:asciiTheme="minorEastAsia" w:hAnsiTheme="minorEastAsia" w:eastAsiaTheme="minorEastAsia"/>
          <w:kern w:val="0"/>
          <w:sz w:val="24"/>
          <w:szCs w:val="24"/>
        </w:rPr>
        <w:t>日刊登在《中国证券报》、《证券时报》及巨潮资讯网（www.cninfo.com.cn）上的《关于2023年回购公司股份方案实施完毕暨股份变动的公告》（2023-</w:t>
      </w:r>
      <w:r>
        <w:rPr>
          <w:rFonts w:hint="eastAsia" w:asciiTheme="minorEastAsia" w:hAnsiTheme="minorEastAsia" w:eastAsiaTheme="minorEastAsia"/>
          <w:kern w:val="0"/>
          <w:sz w:val="24"/>
          <w:szCs w:val="24"/>
        </w:rPr>
        <w:t>34</w:t>
      </w:r>
      <w:r>
        <w:rPr>
          <w:rFonts w:asciiTheme="minorEastAsia" w:hAnsiTheme="minorEastAsia" w:eastAsiaTheme="minorEastAsia"/>
          <w:kern w:val="0"/>
          <w:sz w:val="24"/>
          <w:szCs w:val="24"/>
        </w:rPr>
        <w:t>）。</w:t>
      </w:r>
    </w:p>
    <w:p w14:paraId="0CC21999">
      <w:pPr>
        <w:numPr>
          <w:ilvl w:val="0"/>
          <w:numId w:val="1"/>
        </w:numPr>
        <w:autoSpaceDE w:val="0"/>
        <w:autoSpaceDN w:val="0"/>
        <w:adjustRightInd w:val="0"/>
        <w:spacing w:line="360" w:lineRule="auto"/>
        <w:ind w:firstLine="482" w:firstLineChars="200"/>
        <w:rPr>
          <w:rFonts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本次集中竞价出售2023年期已回购股份计划的具体情况</w:t>
      </w:r>
    </w:p>
    <w:p w14:paraId="04D6C8C2">
      <w:p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公司</w:t>
      </w:r>
      <w:r>
        <w:rPr>
          <w:rFonts w:hint="eastAsia" w:asciiTheme="minorEastAsia" w:hAnsiTheme="minorEastAsia" w:eastAsiaTheme="minorEastAsia"/>
          <w:kern w:val="0"/>
          <w:sz w:val="24"/>
          <w:szCs w:val="24"/>
        </w:rPr>
        <w:t>于2026年2月11日</w:t>
      </w:r>
      <w:r>
        <w:rPr>
          <w:rFonts w:asciiTheme="minorEastAsia" w:hAnsiTheme="minorEastAsia" w:eastAsiaTheme="minorEastAsia"/>
          <w:kern w:val="0"/>
          <w:sz w:val="24"/>
          <w:szCs w:val="24"/>
        </w:rPr>
        <w:t>召开</w:t>
      </w:r>
      <w:r>
        <w:rPr>
          <w:rFonts w:hint="eastAsia" w:asciiTheme="minorEastAsia" w:hAnsiTheme="minorEastAsia" w:eastAsiaTheme="minorEastAsia"/>
          <w:kern w:val="0"/>
          <w:sz w:val="24"/>
          <w:szCs w:val="24"/>
        </w:rPr>
        <w:t>第九届董事会2026年第一次临时</w:t>
      </w:r>
      <w:r>
        <w:rPr>
          <w:rFonts w:asciiTheme="minorEastAsia" w:hAnsiTheme="minorEastAsia" w:eastAsiaTheme="minorEastAsia"/>
          <w:kern w:val="0"/>
          <w:sz w:val="24"/>
          <w:szCs w:val="24"/>
        </w:rPr>
        <w:t>会议</w:t>
      </w:r>
      <w:r>
        <w:rPr>
          <w:rFonts w:hint="eastAsia" w:asciiTheme="minorEastAsia" w:hAnsiTheme="minorEastAsia" w:eastAsiaTheme="minorEastAsia"/>
          <w:kern w:val="0"/>
          <w:sz w:val="24"/>
          <w:szCs w:val="24"/>
          <w:lang w:eastAsia="zh-CN"/>
        </w:rPr>
        <w:t>，</w:t>
      </w:r>
      <w:r>
        <w:rPr>
          <w:rFonts w:asciiTheme="minorEastAsia" w:hAnsiTheme="minorEastAsia" w:eastAsiaTheme="minorEastAsia"/>
          <w:kern w:val="0"/>
          <w:sz w:val="24"/>
          <w:szCs w:val="24"/>
        </w:rPr>
        <w:t>审议通过了《</w:t>
      </w:r>
      <w:r>
        <w:rPr>
          <w:rFonts w:hint="eastAsia" w:asciiTheme="minorEastAsia" w:hAnsiTheme="minorEastAsia" w:eastAsiaTheme="minorEastAsia"/>
          <w:kern w:val="0"/>
          <w:sz w:val="24"/>
          <w:szCs w:val="24"/>
        </w:rPr>
        <w:t>关于以集中竞价交易方式出售2023年期已回购股份计划的议案</w:t>
      </w:r>
      <w:r>
        <w:rPr>
          <w:rFonts w:asciiTheme="minorEastAsia" w:hAnsiTheme="minorEastAsia" w:eastAsiaTheme="minorEastAsia"/>
          <w:kern w:val="0"/>
          <w:sz w:val="24"/>
          <w:szCs w:val="24"/>
        </w:rPr>
        <w:t>》，同意以集中竞价的交易方式出售已回购的公司股份。相关出售计划如下</w:t>
      </w:r>
      <w:r>
        <w:rPr>
          <w:rFonts w:hint="eastAsia" w:asciiTheme="minorEastAsia" w:hAnsiTheme="minorEastAsia" w:eastAsiaTheme="minorEastAsia"/>
          <w:kern w:val="0"/>
          <w:sz w:val="24"/>
          <w:szCs w:val="24"/>
        </w:rPr>
        <w:t>。</w:t>
      </w:r>
    </w:p>
    <w:p w14:paraId="74A55541">
      <w:pPr>
        <w:numPr>
          <w:ilvl w:val="0"/>
          <w:numId w:val="2"/>
        </w:num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出售原因及目的：根据《2023年回购公司股份方案之回购报告书》之用途约定，完成回购股份的后续处置；</w:t>
      </w:r>
    </w:p>
    <w:p w14:paraId="0FDCF96C">
      <w:pPr>
        <w:numPr>
          <w:ilvl w:val="0"/>
          <w:numId w:val="2"/>
        </w:num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出售方式：采用集中竞价交易方式；</w:t>
      </w:r>
    </w:p>
    <w:p w14:paraId="44B22DF7">
      <w:pPr>
        <w:numPr>
          <w:ilvl w:val="0"/>
          <w:numId w:val="2"/>
        </w:num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拟出售数量及占总股本比例：拟出售回购股份不超过31,275,31</w:t>
      </w:r>
      <w:r>
        <w:rPr>
          <w:rFonts w:hint="eastAsia" w:asciiTheme="minorEastAsia" w:hAnsiTheme="minorEastAsia" w:eastAsiaTheme="minorEastAsia"/>
          <w:kern w:val="0"/>
          <w:sz w:val="24"/>
          <w:szCs w:val="24"/>
        </w:rPr>
        <w:t>4</w:t>
      </w:r>
      <w:r>
        <w:rPr>
          <w:rFonts w:asciiTheme="minorEastAsia" w:hAnsiTheme="minorEastAsia" w:eastAsiaTheme="minorEastAsia"/>
          <w:kern w:val="0"/>
          <w:sz w:val="24"/>
          <w:szCs w:val="24"/>
        </w:rPr>
        <w:t>股</w:t>
      </w:r>
      <w:r>
        <w:rPr>
          <w:rFonts w:hint="eastAsia" w:asciiTheme="minorEastAsia" w:hAnsiTheme="minorEastAsia" w:eastAsiaTheme="minorEastAsia"/>
          <w:kern w:val="0"/>
          <w:sz w:val="24"/>
          <w:szCs w:val="24"/>
          <w:lang w:eastAsia="zh-CN"/>
        </w:rPr>
        <w:t>，</w:t>
      </w:r>
      <w:r>
        <w:rPr>
          <w:rFonts w:hint="eastAsia" w:asciiTheme="minorEastAsia" w:hAnsiTheme="minorEastAsia" w:eastAsiaTheme="minorEastAsia"/>
          <w:kern w:val="0"/>
          <w:sz w:val="24"/>
          <w:szCs w:val="24"/>
          <w:lang w:val="en-US" w:eastAsia="zh-CN"/>
        </w:rPr>
        <w:t>占公司总股本的1.84%（以公司截止2026年2月11日总股本1,700,681,355股为基准</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lang w:eastAsia="zh-CN"/>
        </w:rPr>
        <w:t>）</w:t>
      </w:r>
      <w:r>
        <w:rPr>
          <w:rFonts w:asciiTheme="minorEastAsia" w:hAnsiTheme="minorEastAsia" w:eastAsiaTheme="minorEastAsia"/>
          <w:kern w:val="0"/>
          <w:sz w:val="24"/>
          <w:szCs w:val="24"/>
        </w:rPr>
        <w:t>在任意连续90个自然日内，出售股份的总数不超过公司股份总数的1%；</w:t>
      </w:r>
    </w:p>
    <w:p w14:paraId="448935E1">
      <w:pPr>
        <w:numPr>
          <w:ilvl w:val="0"/>
          <w:numId w:val="2"/>
        </w:num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出售</w:t>
      </w:r>
      <w:r>
        <w:rPr>
          <w:rFonts w:asciiTheme="minorEastAsia" w:hAnsiTheme="minorEastAsia" w:eastAsiaTheme="minorEastAsia"/>
          <w:kern w:val="0"/>
          <w:sz w:val="24"/>
          <w:szCs w:val="24"/>
        </w:rPr>
        <w:t>价格区间：根据出售时的二级市场价格确定，委托价格不得为公司股票当日交易跌幅限制的价格；</w:t>
      </w:r>
    </w:p>
    <w:p w14:paraId="5AA443D2">
      <w:pPr>
        <w:numPr>
          <w:ilvl w:val="0"/>
          <w:numId w:val="2"/>
        </w:num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出售实施期限：202</w:t>
      </w: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年</w:t>
      </w:r>
      <w:r>
        <w:rPr>
          <w:rFonts w:hint="eastAsia" w:asciiTheme="minorEastAsia" w:hAnsiTheme="minorEastAsia" w:eastAsiaTheme="minorEastAsia"/>
          <w:kern w:val="0"/>
          <w:sz w:val="24"/>
          <w:szCs w:val="24"/>
        </w:rPr>
        <w:t>3</w:t>
      </w:r>
      <w:r>
        <w:rPr>
          <w:rFonts w:asciiTheme="minorEastAsia" w:hAnsiTheme="minorEastAsia" w:eastAsiaTheme="minorEastAsia"/>
          <w:kern w:val="0"/>
          <w:sz w:val="24"/>
          <w:szCs w:val="24"/>
        </w:rPr>
        <w:t>月</w:t>
      </w:r>
      <w:r>
        <w:rPr>
          <w:rFonts w:hint="eastAsia" w:asciiTheme="minorEastAsia" w:hAnsiTheme="minorEastAsia" w:eastAsiaTheme="minorEastAsia"/>
          <w:kern w:val="0"/>
          <w:sz w:val="24"/>
          <w:szCs w:val="24"/>
        </w:rPr>
        <w:t>1</w:t>
      </w:r>
      <w:r>
        <w:rPr>
          <w:rFonts w:hint="eastAsia" w:asciiTheme="minorEastAsia" w:hAnsiTheme="minorEastAsia" w:eastAsiaTheme="minorEastAsia"/>
          <w:kern w:val="0"/>
          <w:sz w:val="24"/>
          <w:szCs w:val="24"/>
          <w:lang w:val="en-US" w:eastAsia="zh-CN"/>
        </w:rPr>
        <w:t>6</w:t>
      </w:r>
      <w:bookmarkStart w:id="0" w:name="_GoBack"/>
      <w:bookmarkEnd w:id="0"/>
      <w:r>
        <w:rPr>
          <w:rFonts w:asciiTheme="minorEastAsia" w:hAnsiTheme="minorEastAsia" w:eastAsiaTheme="minorEastAsia"/>
          <w:kern w:val="0"/>
          <w:sz w:val="24"/>
          <w:szCs w:val="24"/>
        </w:rPr>
        <w:t>日至202</w:t>
      </w: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年</w:t>
      </w: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月</w:t>
      </w:r>
      <w:r>
        <w:rPr>
          <w:rFonts w:hint="eastAsia" w:asciiTheme="minorEastAsia" w:hAnsiTheme="minorEastAsia" w:eastAsiaTheme="minorEastAsia"/>
          <w:kern w:val="0"/>
          <w:sz w:val="24"/>
          <w:szCs w:val="24"/>
        </w:rPr>
        <w:t>19</w:t>
      </w:r>
      <w:r>
        <w:rPr>
          <w:rFonts w:asciiTheme="minorEastAsia" w:hAnsiTheme="minorEastAsia" w:eastAsiaTheme="minorEastAsia"/>
          <w:kern w:val="0"/>
          <w:sz w:val="24"/>
          <w:szCs w:val="24"/>
        </w:rPr>
        <w:t>日，在此期间如遇法律法规规定的窗口期，则不出售；</w:t>
      </w:r>
    </w:p>
    <w:p w14:paraId="0AB07B77">
      <w:pPr>
        <w:numPr>
          <w:ilvl w:val="0"/>
          <w:numId w:val="2"/>
        </w:num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出售所得资金的用途及使用安排：用于补充公司流动资金</w:t>
      </w:r>
      <w:r>
        <w:rPr>
          <w:rFonts w:hint="eastAsia" w:asciiTheme="minorEastAsia" w:hAnsiTheme="minorEastAsia" w:eastAsiaTheme="minorEastAsia"/>
          <w:kern w:val="0"/>
          <w:sz w:val="24"/>
          <w:szCs w:val="24"/>
        </w:rPr>
        <w:t>。</w:t>
      </w:r>
    </w:p>
    <w:p w14:paraId="7F6F3C78">
      <w:pPr>
        <w:numPr>
          <w:ilvl w:val="0"/>
          <w:numId w:val="1"/>
        </w:numPr>
        <w:autoSpaceDE w:val="0"/>
        <w:autoSpaceDN w:val="0"/>
        <w:adjustRightInd w:val="0"/>
        <w:spacing w:line="360" w:lineRule="auto"/>
        <w:ind w:firstLine="482" w:firstLineChars="200"/>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预计出售完成后公司股权结构的变动情况</w:t>
      </w:r>
    </w:p>
    <w:p w14:paraId="57F11020">
      <w:p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本次出售计划的实施不会导致公司控制权发生变化，不会导致公司股权结构发生变化。预计公司出售回购股份前后的股权结构变动情况如下</w:t>
      </w:r>
      <w:r>
        <w:rPr>
          <w:rFonts w:hint="eastAsia" w:asciiTheme="minorEastAsia" w:hAnsiTheme="minorEastAsia" w:eastAsiaTheme="minorEastAsia"/>
          <w:kern w:val="0"/>
          <w:sz w:val="24"/>
          <w:szCs w:val="24"/>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664"/>
        <w:gridCol w:w="1540"/>
        <w:gridCol w:w="1705"/>
        <w:gridCol w:w="1705"/>
      </w:tblGrid>
      <w:tr w14:paraId="7562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restart"/>
            <w:vAlign w:val="center"/>
          </w:tcPr>
          <w:p w14:paraId="0087F33E">
            <w:pPr>
              <w:autoSpaceDE w:val="0"/>
              <w:autoSpaceDN w:val="0"/>
              <w:adjustRightInd w:val="0"/>
              <w:spacing w:line="360" w:lineRule="auto"/>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类别</w:t>
            </w:r>
          </w:p>
        </w:tc>
        <w:tc>
          <w:tcPr>
            <w:tcW w:w="3204" w:type="dxa"/>
            <w:gridSpan w:val="2"/>
            <w:vAlign w:val="center"/>
          </w:tcPr>
          <w:p w14:paraId="50095699">
            <w:pPr>
              <w:autoSpaceDE w:val="0"/>
              <w:autoSpaceDN w:val="0"/>
              <w:adjustRightInd w:val="0"/>
              <w:spacing w:line="360" w:lineRule="auto"/>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本次回购出售前</w:t>
            </w:r>
          </w:p>
        </w:tc>
        <w:tc>
          <w:tcPr>
            <w:tcW w:w="3410" w:type="dxa"/>
            <w:gridSpan w:val="2"/>
            <w:vAlign w:val="center"/>
          </w:tcPr>
          <w:p w14:paraId="054E2F3A">
            <w:pPr>
              <w:autoSpaceDE w:val="0"/>
              <w:autoSpaceDN w:val="0"/>
              <w:adjustRightInd w:val="0"/>
              <w:spacing w:line="360" w:lineRule="auto"/>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本次回购出售后</w:t>
            </w:r>
          </w:p>
        </w:tc>
      </w:tr>
      <w:tr w14:paraId="75C8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tcPr>
          <w:p w14:paraId="2249523A">
            <w:pPr>
              <w:autoSpaceDE w:val="0"/>
              <w:autoSpaceDN w:val="0"/>
              <w:adjustRightInd w:val="0"/>
              <w:spacing w:line="360" w:lineRule="auto"/>
              <w:rPr>
                <w:rFonts w:asciiTheme="minorEastAsia" w:hAnsiTheme="minorEastAsia" w:eastAsiaTheme="minorEastAsia"/>
                <w:kern w:val="0"/>
                <w:szCs w:val="21"/>
              </w:rPr>
            </w:pPr>
          </w:p>
        </w:tc>
        <w:tc>
          <w:tcPr>
            <w:tcW w:w="1664" w:type="dxa"/>
            <w:vAlign w:val="center"/>
          </w:tcPr>
          <w:p w14:paraId="7B9AEFC0">
            <w:pPr>
              <w:autoSpaceDE w:val="0"/>
              <w:autoSpaceDN w:val="0"/>
              <w:adjustRightInd w:val="0"/>
              <w:spacing w:line="360" w:lineRule="auto"/>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股份数量（股）</w:t>
            </w:r>
          </w:p>
        </w:tc>
        <w:tc>
          <w:tcPr>
            <w:tcW w:w="1540" w:type="dxa"/>
            <w:vAlign w:val="center"/>
          </w:tcPr>
          <w:p w14:paraId="4821EE9B">
            <w:pPr>
              <w:autoSpaceDE w:val="0"/>
              <w:autoSpaceDN w:val="0"/>
              <w:adjustRightInd w:val="0"/>
              <w:spacing w:line="360" w:lineRule="auto"/>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比例（%）</w:t>
            </w:r>
          </w:p>
        </w:tc>
        <w:tc>
          <w:tcPr>
            <w:tcW w:w="1705" w:type="dxa"/>
            <w:shd w:val="clear" w:color="auto" w:fill="auto"/>
            <w:vAlign w:val="center"/>
          </w:tcPr>
          <w:p w14:paraId="67BA9261">
            <w:pPr>
              <w:autoSpaceDE w:val="0"/>
              <w:autoSpaceDN w:val="0"/>
              <w:adjustRightInd w:val="0"/>
              <w:spacing w:line="360" w:lineRule="auto"/>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股份数量（股）</w:t>
            </w:r>
          </w:p>
        </w:tc>
        <w:tc>
          <w:tcPr>
            <w:tcW w:w="1705" w:type="dxa"/>
            <w:shd w:val="clear" w:color="auto" w:fill="auto"/>
            <w:vAlign w:val="center"/>
          </w:tcPr>
          <w:p w14:paraId="2C766711">
            <w:pPr>
              <w:autoSpaceDE w:val="0"/>
              <w:autoSpaceDN w:val="0"/>
              <w:adjustRightInd w:val="0"/>
              <w:spacing w:line="360" w:lineRule="auto"/>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比例（%）</w:t>
            </w:r>
          </w:p>
        </w:tc>
      </w:tr>
      <w:tr w14:paraId="6451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0D122499">
            <w:pPr>
              <w:autoSpaceDE w:val="0"/>
              <w:autoSpaceDN w:val="0"/>
              <w:adjustRightInd w:val="0"/>
              <w:spacing w:line="360" w:lineRule="auto"/>
              <w:rPr>
                <w:rFonts w:asciiTheme="minorEastAsia" w:hAnsiTheme="minorEastAsia" w:eastAsiaTheme="minorEastAsia"/>
                <w:kern w:val="0"/>
                <w:szCs w:val="21"/>
              </w:rPr>
            </w:pPr>
            <w:r>
              <w:rPr>
                <w:rFonts w:hint="eastAsia" w:asciiTheme="minorEastAsia" w:hAnsiTheme="minorEastAsia" w:eastAsiaTheme="minorEastAsia"/>
                <w:kern w:val="0"/>
                <w:szCs w:val="21"/>
              </w:rPr>
              <w:t>有限售条件的股份</w:t>
            </w:r>
          </w:p>
        </w:tc>
        <w:tc>
          <w:tcPr>
            <w:tcW w:w="1664" w:type="dxa"/>
            <w:vAlign w:val="center"/>
          </w:tcPr>
          <w:p w14:paraId="35E903D8">
            <w:pPr>
              <w:autoSpaceDE w:val="0"/>
              <w:autoSpaceDN w:val="0"/>
              <w:adjustRightInd w:val="0"/>
              <w:spacing w:line="360" w:lineRule="auto"/>
              <w:jc w:val="right"/>
              <w:rPr>
                <w:rFonts w:asciiTheme="minorEastAsia" w:hAnsiTheme="minorEastAsia" w:eastAsiaTheme="minorEastAsia"/>
                <w:kern w:val="0"/>
                <w:szCs w:val="21"/>
              </w:rPr>
            </w:pPr>
            <w:r>
              <w:rPr>
                <w:rFonts w:hint="eastAsia" w:asciiTheme="minorEastAsia" w:hAnsiTheme="minorEastAsia" w:eastAsiaTheme="minorEastAsia"/>
                <w:kern w:val="0"/>
                <w:szCs w:val="21"/>
              </w:rPr>
              <w:t>0</w:t>
            </w:r>
          </w:p>
        </w:tc>
        <w:tc>
          <w:tcPr>
            <w:tcW w:w="1540" w:type="dxa"/>
            <w:vAlign w:val="center"/>
          </w:tcPr>
          <w:p w14:paraId="10CD9D6F">
            <w:pPr>
              <w:autoSpaceDE w:val="0"/>
              <w:autoSpaceDN w:val="0"/>
              <w:adjustRightInd w:val="0"/>
              <w:spacing w:line="360" w:lineRule="auto"/>
              <w:jc w:val="right"/>
              <w:rPr>
                <w:rFonts w:asciiTheme="minorEastAsia" w:hAnsiTheme="minorEastAsia" w:eastAsiaTheme="minorEastAsia"/>
                <w:kern w:val="0"/>
                <w:szCs w:val="21"/>
              </w:rPr>
            </w:pPr>
            <w:r>
              <w:rPr>
                <w:rFonts w:hint="eastAsia" w:asciiTheme="minorEastAsia" w:hAnsiTheme="minorEastAsia" w:eastAsiaTheme="minorEastAsia"/>
                <w:kern w:val="0"/>
                <w:szCs w:val="21"/>
              </w:rPr>
              <w:t>0</w:t>
            </w:r>
          </w:p>
        </w:tc>
        <w:tc>
          <w:tcPr>
            <w:tcW w:w="1705" w:type="dxa"/>
            <w:vAlign w:val="center"/>
          </w:tcPr>
          <w:p w14:paraId="5C07B107">
            <w:pPr>
              <w:autoSpaceDE w:val="0"/>
              <w:autoSpaceDN w:val="0"/>
              <w:adjustRightInd w:val="0"/>
              <w:spacing w:line="360" w:lineRule="auto"/>
              <w:jc w:val="right"/>
              <w:rPr>
                <w:rFonts w:asciiTheme="minorEastAsia" w:hAnsiTheme="minorEastAsia" w:eastAsiaTheme="minorEastAsia"/>
                <w:kern w:val="0"/>
                <w:szCs w:val="21"/>
              </w:rPr>
            </w:pPr>
            <w:r>
              <w:rPr>
                <w:rFonts w:hint="eastAsia" w:asciiTheme="minorEastAsia" w:hAnsiTheme="minorEastAsia" w:eastAsiaTheme="minorEastAsia"/>
                <w:kern w:val="0"/>
                <w:szCs w:val="21"/>
              </w:rPr>
              <w:t>0</w:t>
            </w:r>
          </w:p>
        </w:tc>
        <w:tc>
          <w:tcPr>
            <w:tcW w:w="1705" w:type="dxa"/>
            <w:vAlign w:val="center"/>
          </w:tcPr>
          <w:p w14:paraId="61F68545">
            <w:pPr>
              <w:autoSpaceDE w:val="0"/>
              <w:autoSpaceDN w:val="0"/>
              <w:adjustRightInd w:val="0"/>
              <w:spacing w:line="360" w:lineRule="auto"/>
              <w:jc w:val="right"/>
              <w:rPr>
                <w:rFonts w:asciiTheme="minorEastAsia" w:hAnsiTheme="minorEastAsia" w:eastAsiaTheme="minorEastAsia"/>
                <w:kern w:val="0"/>
                <w:szCs w:val="21"/>
              </w:rPr>
            </w:pPr>
            <w:r>
              <w:rPr>
                <w:rFonts w:hint="eastAsia" w:asciiTheme="minorEastAsia" w:hAnsiTheme="minorEastAsia" w:eastAsiaTheme="minorEastAsia"/>
                <w:kern w:val="0"/>
                <w:szCs w:val="21"/>
              </w:rPr>
              <w:t>0</w:t>
            </w:r>
          </w:p>
        </w:tc>
      </w:tr>
      <w:tr w14:paraId="6896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272C3F7B">
            <w:pPr>
              <w:autoSpaceDE w:val="0"/>
              <w:autoSpaceDN w:val="0"/>
              <w:adjustRightInd w:val="0"/>
              <w:spacing w:line="360" w:lineRule="auto"/>
              <w:rPr>
                <w:rFonts w:asciiTheme="minorEastAsia" w:hAnsiTheme="minorEastAsia" w:eastAsiaTheme="minorEastAsia"/>
                <w:kern w:val="0"/>
                <w:szCs w:val="21"/>
              </w:rPr>
            </w:pPr>
            <w:r>
              <w:rPr>
                <w:rFonts w:hint="eastAsia" w:asciiTheme="minorEastAsia" w:hAnsiTheme="minorEastAsia" w:eastAsiaTheme="minorEastAsia"/>
                <w:kern w:val="0"/>
                <w:szCs w:val="21"/>
              </w:rPr>
              <w:t>无限售条件的股份</w:t>
            </w:r>
          </w:p>
        </w:tc>
        <w:tc>
          <w:tcPr>
            <w:tcW w:w="1664" w:type="dxa"/>
            <w:vAlign w:val="center"/>
          </w:tcPr>
          <w:p w14:paraId="3F55C514">
            <w:pPr>
              <w:autoSpaceDE w:val="0"/>
              <w:autoSpaceDN w:val="0"/>
              <w:adjustRightInd w:val="0"/>
              <w:spacing w:line="360" w:lineRule="auto"/>
              <w:jc w:val="right"/>
              <w:rPr>
                <w:rFonts w:asciiTheme="minorEastAsia" w:hAnsiTheme="minorEastAsia" w:eastAsiaTheme="minorEastAsia"/>
                <w:kern w:val="0"/>
                <w:szCs w:val="21"/>
              </w:rPr>
            </w:pPr>
            <w:r>
              <w:rPr>
                <w:rFonts w:hint="eastAsia" w:asciiTheme="minorEastAsia" w:hAnsiTheme="minorEastAsia" w:eastAsiaTheme="minorEastAsia"/>
                <w:kern w:val="0"/>
                <w:szCs w:val="21"/>
              </w:rPr>
              <w:t>1,700,681,355</w:t>
            </w:r>
          </w:p>
        </w:tc>
        <w:tc>
          <w:tcPr>
            <w:tcW w:w="1540" w:type="dxa"/>
            <w:vAlign w:val="center"/>
          </w:tcPr>
          <w:p w14:paraId="7D1E2FB0">
            <w:pPr>
              <w:autoSpaceDE w:val="0"/>
              <w:autoSpaceDN w:val="0"/>
              <w:adjustRightInd w:val="0"/>
              <w:spacing w:line="360" w:lineRule="auto"/>
              <w:jc w:val="right"/>
              <w:rPr>
                <w:rFonts w:asciiTheme="minorEastAsia" w:hAnsiTheme="minorEastAsia" w:eastAsiaTheme="minorEastAsia"/>
                <w:kern w:val="0"/>
                <w:szCs w:val="21"/>
              </w:rPr>
            </w:pPr>
            <w:r>
              <w:rPr>
                <w:rFonts w:hint="eastAsia" w:asciiTheme="minorEastAsia" w:hAnsiTheme="minorEastAsia" w:eastAsiaTheme="minorEastAsia"/>
                <w:kern w:val="0"/>
                <w:szCs w:val="21"/>
              </w:rPr>
              <w:t>100</w:t>
            </w:r>
          </w:p>
        </w:tc>
        <w:tc>
          <w:tcPr>
            <w:tcW w:w="1705" w:type="dxa"/>
            <w:shd w:val="clear" w:color="auto" w:fill="auto"/>
            <w:vAlign w:val="center"/>
          </w:tcPr>
          <w:p w14:paraId="6B8C5F0D">
            <w:pPr>
              <w:autoSpaceDE w:val="0"/>
              <w:autoSpaceDN w:val="0"/>
              <w:adjustRightInd w:val="0"/>
              <w:spacing w:line="360" w:lineRule="auto"/>
              <w:jc w:val="right"/>
              <w:rPr>
                <w:rFonts w:asciiTheme="minorEastAsia" w:hAnsiTheme="minorEastAsia" w:eastAsiaTheme="minorEastAsia"/>
                <w:kern w:val="0"/>
                <w:szCs w:val="21"/>
              </w:rPr>
            </w:pPr>
            <w:r>
              <w:rPr>
                <w:rFonts w:hint="eastAsia" w:asciiTheme="minorEastAsia" w:hAnsiTheme="minorEastAsia" w:eastAsiaTheme="minorEastAsia"/>
                <w:kern w:val="0"/>
                <w:szCs w:val="21"/>
              </w:rPr>
              <w:t>1,700,681,355</w:t>
            </w:r>
          </w:p>
        </w:tc>
        <w:tc>
          <w:tcPr>
            <w:tcW w:w="1705" w:type="dxa"/>
            <w:shd w:val="clear" w:color="auto" w:fill="auto"/>
            <w:vAlign w:val="center"/>
          </w:tcPr>
          <w:p w14:paraId="3CF128A5">
            <w:pPr>
              <w:autoSpaceDE w:val="0"/>
              <w:autoSpaceDN w:val="0"/>
              <w:adjustRightInd w:val="0"/>
              <w:spacing w:line="360" w:lineRule="auto"/>
              <w:jc w:val="right"/>
              <w:rPr>
                <w:rFonts w:asciiTheme="minorEastAsia" w:hAnsiTheme="minorEastAsia" w:eastAsiaTheme="minorEastAsia"/>
                <w:kern w:val="0"/>
                <w:szCs w:val="21"/>
              </w:rPr>
            </w:pPr>
            <w:r>
              <w:rPr>
                <w:rFonts w:hint="eastAsia" w:asciiTheme="minorEastAsia" w:hAnsiTheme="minorEastAsia" w:eastAsiaTheme="minorEastAsia"/>
                <w:kern w:val="0"/>
                <w:szCs w:val="21"/>
              </w:rPr>
              <w:t>100</w:t>
            </w:r>
          </w:p>
        </w:tc>
      </w:tr>
      <w:tr w14:paraId="6C12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74738ADE">
            <w:pPr>
              <w:autoSpaceDE w:val="0"/>
              <w:autoSpaceDN w:val="0"/>
              <w:adjustRightInd w:val="0"/>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其中：回购专用证券账户</w:t>
            </w:r>
          </w:p>
        </w:tc>
        <w:tc>
          <w:tcPr>
            <w:tcW w:w="1664" w:type="dxa"/>
            <w:vAlign w:val="center"/>
          </w:tcPr>
          <w:p w14:paraId="0CBAAA7C">
            <w:pPr>
              <w:autoSpaceDE w:val="0"/>
              <w:autoSpaceDN w:val="0"/>
              <w:adjustRightInd w:val="0"/>
              <w:jc w:val="right"/>
              <w:rPr>
                <w:rFonts w:asciiTheme="minorEastAsia" w:hAnsiTheme="minorEastAsia" w:eastAsiaTheme="minorEastAsia"/>
                <w:kern w:val="0"/>
                <w:szCs w:val="21"/>
              </w:rPr>
            </w:pPr>
            <w:r>
              <w:rPr>
                <w:rFonts w:asciiTheme="minorEastAsia" w:hAnsiTheme="minorEastAsia" w:eastAsiaTheme="minorEastAsia"/>
                <w:kern w:val="0"/>
                <w:szCs w:val="21"/>
              </w:rPr>
              <w:t>95</w:t>
            </w:r>
            <w:r>
              <w:rPr>
                <w:rFonts w:hint="eastAsia" w:asciiTheme="minorEastAsia" w:hAnsiTheme="minorEastAsia" w:eastAsiaTheme="minorEastAsia"/>
                <w:kern w:val="0"/>
                <w:szCs w:val="21"/>
              </w:rPr>
              <w:t>,</w:t>
            </w:r>
            <w:r>
              <w:rPr>
                <w:rFonts w:asciiTheme="minorEastAsia" w:hAnsiTheme="minorEastAsia" w:eastAsiaTheme="minorEastAsia"/>
                <w:kern w:val="0"/>
                <w:szCs w:val="21"/>
              </w:rPr>
              <w:t>478</w:t>
            </w:r>
            <w:r>
              <w:rPr>
                <w:rFonts w:hint="eastAsia" w:asciiTheme="minorEastAsia" w:hAnsiTheme="minorEastAsia" w:eastAsiaTheme="minorEastAsia"/>
                <w:kern w:val="0"/>
                <w:szCs w:val="21"/>
              </w:rPr>
              <w:t>,</w:t>
            </w:r>
            <w:r>
              <w:rPr>
                <w:rFonts w:asciiTheme="minorEastAsia" w:hAnsiTheme="minorEastAsia" w:eastAsiaTheme="minorEastAsia"/>
                <w:kern w:val="0"/>
                <w:szCs w:val="21"/>
              </w:rPr>
              <w:t>485</w:t>
            </w:r>
          </w:p>
        </w:tc>
        <w:tc>
          <w:tcPr>
            <w:tcW w:w="1540" w:type="dxa"/>
            <w:vAlign w:val="center"/>
          </w:tcPr>
          <w:p w14:paraId="28867F10">
            <w:pPr>
              <w:autoSpaceDE w:val="0"/>
              <w:autoSpaceDN w:val="0"/>
              <w:adjustRightInd w:val="0"/>
              <w:jc w:val="right"/>
              <w:rPr>
                <w:rFonts w:asciiTheme="minorEastAsia" w:hAnsiTheme="minorEastAsia" w:eastAsiaTheme="minorEastAsia"/>
                <w:kern w:val="0"/>
                <w:szCs w:val="21"/>
              </w:rPr>
            </w:pPr>
            <w:r>
              <w:rPr>
                <w:rFonts w:asciiTheme="minorEastAsia" w:hAnsiTheme="minorEastAsia" w:eastAsiaTheme="minorEastAsia"/>
                <w:kern w:val="0"/>
                <w:szCs w:val="21"/>
              </w:rPr>
              <w:t>5.61</w:t>
            </w:r>
          </w:p>
        </w:tc>
        <w:tc>
          <w:tcPr>
            <w:tcW w:w="1705" w:type="dxa"/>
            <w:vAlign w:val="center"/>
          </w:tcPr>
          <w:p w14:paraId="34993162">
            <w:pPr>
              <w:autoSpaceDE w:val="0"/>
              <w:autoSpaceDN w:val="0"/>
              <w:adjustRightInd w:val="0"/>
              <w:jc w:val="right"/>
              <w:rPr>
                <w:rFonts w:asciiTheme="minorEastAsia" w:hAnsiTheme="minorEastAsia" w:eastAsiaTheme="minorEastAsia"/>
                <w:kern w:val="0"/>
                <w:szCs w:val="21"/>
              </w:rPr>
            </w:pPr>
            <w:r>
              <w:rPr>
                <w:rFonts w:asciiTheme="minorEastAsia" w:hAnsiTheme="minorEastAsia" w:eastAsiaTheme="minorEastAsia"/>
                <w:kern w:val="0"/>
                <w:szCs w:val="21"/>
              </w:rPr>
              <w:t>64</w:t>
            </w:r>
            <w:r>
              <w:rPr>
                <w:rFonts w:hint="eastAsia" w:asciiTheme="minorEastAsia" w:hAnsiTheme="minorEastAsia" w:eastAsiaTheme="minorEastAsia"/>
                <w:kern w:val="0"/>
                <w:szCs w:val="21"/>
              </w:rPr>
              <w:t>,</w:t>
            </w:r>
            <w:r>
              <w:rPr>
                <w:rFonts w:asciiTheme="minorEastAsia" w:hAnsiTheme="minorEastAsia" w:eastAsiaTheme="minorEastAsia"/>
                <w:kern w:val="0"/>
                <w:szCs w:val="21"/>
              </w:rPr>
              <w:t>203</w:t>
            </w:r>
            <w:r>
              <w:rPr>
                <w:rFonts w:hint="eastAsia" w:asciiTheme="minorEastAsia" w:hAnsiTheme="minorEastAsia" w:eastAsiaTheme="minorEastAsia"/>
                <w:kern w:val="0"/>
                <w:szCs w:val="21"/>
              </w:rPr>
              <w:t>,</w:t>
            </w:r>
            <w:r>
              <w:rPr>
                <w:rFonts w:asciiTheme="minorEastAsia" w:hAnsiTheme="minorEastAsia" w:eastAsiaTheme="minorEastAsia"/>
                <w:kern w:val="0"/>
                <w:szCs w:val="21"/>
              </w:rPr>
              <w:t>171</w:t>
            </w:r>
          </w:p>
        </w:tc>
        <w:tc>
          <w:tcPr>
            <w:tcW w:w="1705" w:type="dxa"/>
            <w:vAlign w:val="center"/>
          </w:tcPr>
          <w:p w14:paraId="3C6A5196">
            <w:pPr>
              <w:autoSpaceDE w:val="0"/>
              <w:autoSpaceDN w:val="0"/>
              <w:adjustRightInd w:val="0"/>
              <w:jc w:val="right"/>
              <w:rPr>
                <w:rFonts w:asciiTheme="minorEastAsia" w:hAnsiTheme="minorEastAsia" w:eastAsiaTheme="minorEastAsia"/>
                <w:kern w:val="0"/>
                <w:szCs w:val="21"/>
              </w:rPr>
            </w:pPr>
            <w:r>
              <w:rPr>
                <w:rFonts w:hint="eastAsia" w:asciiTheme="minorEastAsia" w:hAnsiTheme="minorEastAsia" w:eastAsiaTheme="minorEastAsia"/>
                <w:kern w:val="0"/>
                <w:szCs w:val="21"/>
              </w:rPr>
              <w:t>3.78</w:t>
            </w:r>
          </w:p>
        </w:tc>
      </w:tr>
      <w:tr w14:paraId="33BC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3A5C5308">
            <w:pPr>
              <w:autoSpaceDE w:val="0"/>
              <w:autoSpaceDN w:val="0"/>
              <w:adjustRightInd w:val="0"/>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b/>
                <w:bCs/>
                <w:kern w:val="0"/>
                <w:szCs w:val="21"/>
              </w:rPr>
              <w:t>总计</w:t>
            </w:r>
          </w:p>
        </w:tc>
        <w:tc>
          <w:tcPr>
            <w:tcW w:w="1664" w:type="dxa"/>
            <w:shd w:val="clear" w:color="auto" w:fill="auto"/>
            <w:vAlign w:val="center"/>
          </w:tcPr>
          <w:p w14:paraId="29B2BDA1">
            <w:pPr>
              <w:autoSpaceDE w:val="0"/>
              <w:autoSpaceDN w:val="0"/>
              <w:adjustRightInd w:val="0"/>
              <w:spacing w:line="360" w:lineRule="auto"/>
              <w:jc w:val="right"/>
              <w:rPr>
                <w:rFonts w:asciiTheme="minorEastAsia" w:hAnsiTheme="minorEastAsia" w:eastAsiaTheme="minorEastAsia"/>
                <w:kern w:val="0"/>
                <w:szCs w:val="21"/>
              </w:rPr>
            </w:pPr>
            <w:r>
              <w:rPr>
                <w:rFonts w:hint="eastAsia" w:asciiTheme="minorEastAsia" w:hAnsiTheme="minorEastAsia" w:eastAsiaTheme="minorEastAsia"/>
                <w:kern w:val="0"/>
                <w:szCs w:val="21"/>
              </w:rPr>
              <w:t>1,700,681,355</w:t>
            </w:r>
          </w:p>
        </w:tc>
        <w:tc>
          <w:tcPr>
            <w:tcW w:w="1540" w:type="dxa"/>
            <w:shd w:val="clear" w:color="auto" w:fill="auto"/>
            <w:vAlign w:val="center"/>
          </w:tcPr>
          <w:p w14:paraId="18147FE1">
            <w:pPr>
              <w:autoSpaceDE w:val="0"/>
              <w:autoSpaceDN w:val="0"/>
              <w:adjustRightInd w:val="0"/>
              <w:spacing w:line="360" w:lineRule="auto"/>
              <w:jc w:val="right"/>
              <w:rPr>
                <w:rFonts w:asciiTheme="minorEastAsia" w:hAnsiTheme="minorEastAsia" w:eastAsiaTheme="minorEastAsia"/>
                <w:kern w:val="0"/>
                <w:szCs w:val="21"/>
              </w:rPr>
            </w:pPr>
            <w:r>
              <w:rPr>
                <w:rFonts w:hint="eastAsia" w:asciiTheme="minorEastAsia" w:hAnsiTheme="minorEastAsia" w:eastAsiaTheme="minorEastAsia"/>
                <w:kern w:val="0"/>
                <w:szCs w:val="21"/>
              </w:rPr>
              <w:t>100</w:t>
            </w:r>
          </w:p>
        </w:tc>
        <w:tc>
          <w:tcPr>
            <w:tcW w:w="1705" w:type="dxa"/>
            <w:shd w:val="clear" w:color="auto" w:fill="auto"/>
            <w:vAlign w:val="center"/>
          </w:tcPr>
          <w:p w14:paraId="147681A8">
            <w:pPr>
              <w:autoSpaceDE w:val="0"/>
              <w:autoSpaceDN w:val="0"/>
              <w:adjustRightInd w:val="0"/>
              <w:spacing w:line="360" w:lineRule="auto"/>
              <w:jc w:val="right"/>
              <w:rPr>
                <w:rFonts w:asciiTheme="minorEastAsia" w:hAnsiTheme="minorEastAsia" w:eastAsiaTheme="minorEastAsia"/>
                <w:kern w:val="0"/>
                <w:szCs w:val="21"/>
              </w:rPr>
            </w:pPr>
            <w:r>
              <w:rPr>
                <w:rFonts w:hint="eastAsia" w:asciiTheme="minorEastAsia" w:hAnsiTheme="minorEastAsia" w:eastAsiaTheme="minorEastAsia"/>
                <w:kern w:val="0"/>
                <w:szCs w:val="21"/>
              </w:rPr>
              <w:t>1,700,681,355</w:t>
            </w:r>
          </w:p>
        </w:tc>
        <w:tc>
          <w:tcPr>
            <w:tcW w:w="1705" w:type="dxa"/>
            <w:shd w:val="clear" w:color="auto" w:fill="auto"/>
            <w:vAlign w:val="center"/>
          </w:tcPr>
          <w:p w14:paraId="17D48B0D">
            <w:pPr>
              <w:autoSpaceDE w:val="0"/>
              <w:autoSpaceDN w:val="0"/>
              <w:adjustRightInd w:val="0"/>
              <w:spacing w:line="360" w:lineRule="auto"/>
              <w:jc w:val="right"/>
              <w:rPr>
                <w:rFonts w:asciiTheme="minorEastAsia" w:hAnsiTheme="minorEastAsia" w:eastAsiaTheme="minorEastAsia"/>
                <w:kern w:val="0"/>
                <w:szCs w:val="21"/>
              </w:rPr>
            </w:pPr>
            <w:r>
              <w:rPr>
                <w:rFonts w:hint="eastAsia" w:asciiTheme="minorEastAsia" w:hAnsiTheme="minorEastAsia" w:eastAsiaTheme="minorEastAsia"/>
                <w:kern w:val="0"/>
                <w:szCs w:val="21"/>
              </w:rPr>
              <w:t>100</w:t>
            </w:r>
          </w:p>
        </w:tc>
      </w:tr>
    </w:tbl>
    <w:p w14:paraId="59D8C94B">
      <w:pPr>
        <w:numPr>
          <w:ilvl w:val="0"/>
          <w:numId w:val="1"/>
        </w:numPr>
        <w:autoSpaceDE w:val="0"/>
        <w:autoSpaceDN w:val="0"/>
        <w:adjustRightInd w:val="0"/>
        <w:spacing w:line="360" w:lineRule="auto"/>
        <w:ind w:firstLine="482" w:firstLineChars="200"/>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管理层关于本次出售回购股份对公司经营、财务及未来发展影响等情况的分析</w:t>
      </w:r>
    </w:p>
    <w:p w14:paraId="56A13152">
      <w:p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公司本次出售已回购股份所得的资金，将用于补充公司营运资金，有利于提高公司资金使用效率，提升公司持续经营能力，维护公司和广大投资者的利益。根据企业会计准则的相关规定，本次出售股份价格与回购股份价格的差额部分将计入或者冲减公司资本公积，不影响公司当期利润，不会对公司的经营、财务和未来发展产生重大影响。</w:t>
      </w:r>
    </w:p>
    <w:p w14:paraId="42610464">
      <w:pPr>
        <w:numPr>
          <w:ilvl w:val="0"/>
          <w:numId w:val="1"/>
        </w:numPr>
        <w:autoSpaceDE w:val="0"/>
        <w:autoSpaceDN w:val="0"/>
        <w:adjustRightInd w:val="0"/>
        <w:spacing w:line="360" w:lineRule="auto"/>
        <w:ind w:firstLine="482" w:firstLineChars="200"/>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上市公司董事、高级管理人员、控股股东、实际控制人、回购股份提议人在董事会作出出售股份决议前六个月内买卖本公司股份的情况</w:t>
      </w:r>
    </w:p>
    <w:p w14:paraId="4A0A7E20">
      <w:pPr>
        <w:autoSpaceDE w:val="0"/>
        <w:autoSpaceDN w:val="0"/>
        <w:adjustRightInd w:val="0"/>
        <w:spacing w:line="360" w:lineRule="auto"/>
        <w:ind w:firstLine="480" w:firstLineChars="200"/>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经公司核查，</w:t>
      </w:r>
      <w:r>
        <w:rPr>
          <w:rFonts w:hint="eastAsia" w:asciiTheme="minorEastAsia" w:hAnsiTheme="minorEastAsia" w:eastAsiaTheme="minorEastAsia"/>
          <w:kern w:val="0"/>
          <w:sz w:val="24"/>
          <w:szCs w:val="24"/>
          <w:lang w:val="en-US" w:eastAsia="zh-CN"/>
        </w:rPr>
        <w:t>公司控股股东华孚控股有限公司于2025年9月18日将其持有的公司100,340,200股无限售流通股份（占公司总股本的5.90%）以3.42元/股的价格转让给杭州兴健私募基金管理有限公司-兴健青龙私募证券投资基金。详见公司2025年9月20日于《证券时报》、《中国证券报》及巨潮资讯网（www.cninfo.com.cn）披露的《关于控股股东协议转让部分股份过户完成的公告》（2025-44）</w:t>
      </w:r>
    </w:p>
    <w:p w14:paraId="5648A7F1">
      <w:pPr>
        <w:autoSpaceDE w:val="0"/>
        <w:autoSpaceDN w:val="0"/>
        <w:adjustRightInd w:val="0"/>
        <w:spacing w:line="360" w:lineRule="auto"/>
        <w:ind w:firstLine="480" w:firstLineChars="200"/>
        <w:rPr>
          <w:rFonts w:hint="default" w:asciiTheme="minorEastAsia" w:hAnsiTheme="minorEastAsia" w:eastAsiaTheme="minorEastAsia"/>
          <w:kern w:val="0"/>
          <w:sz w:val="24"/>
          <w:szCs w:val="24"/>
          <w:lang w:val="en-US" w:eastAsia="zh-CN"/>
        </w:rPr>
      </w:pPr>
      <w:r>
        <w:rPr>
          <w:rFonts w:asciiTheme="minorEastAsia" w:hAnsiTheme="minorEastAsia" w:eastAsiaTheme="minorEastAsia"/>
          <w:kern w:val="0"/>
          <w:sz w:val="24"/>
          <w:szCs w:val="24"/>
        </w:rPr>
        <w:t>公司</w:t>
      </w:r>
      <w:r>
        <w:rPr>
          <w:rFonts w:hint="eastAsia" w:asciiTheme="minorEastAsia" w:hAnsiTheme="minorEastAsia" w:eastAsiaTheme="minorEastAsia"/>
          <w:kern w:val="0"/>
          <w:sz w:val="24"/>
          <w:szCs w:val="24"/>
          <w:lang w:val="en-US" w:eastAsia="zh-CN"/>
        </w:rPr>
        <w:t>其余</w:t>
      </w:r>
      <w:r>
        <w:rPr>
          <w:rFonts w:asciiTheme="minorEastAsia" w:hAnsiTheme="minorEastAsia" w:eastAsiaTheme="minorEastAsia"/>
          <w:kern w:val="0"/>
          <w:sz w:val="24"/>
          <w:szCs w:val="24"/>
        </w:rPr>
        <w:t>董事、高级管理人员、实际控制人、回购股份提议人在董事会作出出售股份决议前六个月内</w:t>
      </w:r>
      <w:r>
        <w:rPr>
          <w:rFonts w:hint="eastAsia" w:asciiTheme="minorEastAsia" w:hAnsiTheme="minorEastAsia" w:eastAsiaTheme="minorEastAsia"/>
          <w:kern w:val="0"/>
          <w:sz w:val="24"/>
          <w:szCs w:val="24"/>
        </w:rPr>
        <w:t>不存在买卖本公司股份的情况。</w:t>
      </w:r>
    </w:p>
    <w:p w14:paraId="7971899D">
      <w:pPr>
        <w:numPr>
          <w:ilvl w:val="0"/>
          <w:numId w:val="1"/>
        </w:numPr>
        <w:autoSpaceDE w:val="0"/>
        <w:autoSpaceDN w:val="0"/>
        <w:adjustRightInd w:val="0"/>
        <w:spacing w:line="360" w:lineRule="auto"/>
        <w:ind w:firstLine="482" w:firstLineChars="200"/>
        <w:rPr>
          <w:rFonts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相关风险提示</w:t>
      </w:r>
    </w:p>
    <w:p w14:paraId="0C735F03">
      <w:pPr>
        <w:numPr>
          <w:ilvl w:val="0"/>
          <w:numId w:val="3"/>
        </w:num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本次出售公司已回购股份计划实施存在不确定风险，公司将根据市场情况、公司股价</w:t>
      </w:r>
      <w:r>
        <w:rPr>
          <w:rFonts w:hint="eastAsia" w:asciiTheme="minorEastAsia" w:hAnsiTheme="minorEastAsia" w:eastAsiaTheme="minorEastAsia"/>
          <w:kern w:val="0"/>
          <w:sz w:val="24"/>
          <w:szCs w:val="24"/>
        </w:rPr>
        <w:t>波动</w:t>
      </w:r>
      <w:r>
        <w:rPr>
          <w:rFonts w:asciiTheme="minorEastAsia" w:hAnsiTheme="minorEastAsia" w:eastAsiaTheme="minorEastAsia"/>
          <w:kern w:val="0"/>
          <w:sz w:val="24"/>
          <w:szCs w:val="24"/>
        </w:rPr>
        <w:t>等情形决定实施对应股份出售计划，</w:t>
      </w:r>
      <w:r>
        <w:rPr>
          <w:rFonts w:hint="eastAsia" w:asciiTheme="minorEastAsia" w:hAnsiTheme="minorEastAsia" w:eastAsiaTheme="minorEastAsia"/>
          <w:kern w:val="0"/>
          <w:sz w:val="24"/>
          <w:szCs w:val="24"/>
        </w:rPr>
        <w:t>本次回购出售计划</w:t>
      </w:r>
      <w:r>
        <w:rPr>
          <w:rFonts w:asciiTheme="minorEastAsia" w:hAnsiTheme="minorEastAsia" w:eastAsiaTheme="minorEastAsia"/>
          <w:kern w:val="0"/>
          <w:sz w:val="24"/>
          <w:szCs w:val="24"/>
        </w:rPr>
        <w:t>存在出售时间、数量、价格的不确定性</w:t>
      </w:r>
      <w:r>
        <w:rPr>
          <w:rFonts w:hint="eastAsia" w:asciiTheme="minorEastAsia" w:hAnsiTheme="minorEastAsia" w:eastAsiaTheme="minorEastAsia"/>
          <w:kern w:val="0"/>
          <w:sz w:val="24"/>
          <w:szCs w:val="24"/>
        </w:rPr>
        <w:t>，可能存在无法按计划完成出售的情形</w:t>
      </w:r>
      <w:r>
        <w:rPr>
          <w:rFonts w:asciiTheme="minorEastAsia" w:hAnsiTheme="minorEastAsia" w:eastAsiaTheme="minorEastAsia"/>
          <w:kern w:val="0"/>
          <w:sz w:val="24"/>
          <w:szCs w:val="24"/>
        </w:rPr>
        <w:t>。</w:t>
      </w:r>
    </w:p>
    <w:p w14:paraId="2D14E16B">
      <w:pPr>
        <w:numPr>
          <w:ilvl w:val="0"/>
          <w:numId w:val="3"/>
        </w:num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本次拟出售部分已回购股份事项符合《深圳证券交易所上市公司自律监管指引第9号——回购股份》等相关规定。在上述出售期间内，公司将严格按照有关法律、行政法规、部门规章及规范性文件等相关规定，及时履行信息披露义务。敬请广大投资者谨慎投资，注意投资风险</w:t>
      </w:r>
      <w:r>
        <w:rPr>
          <w:rFonts w:hint="eastAsia" w:asciiTheme="minorEastAsia" w:hAnsiTheme="minorEastAsia" w:eastAsiaTheme="minorEastAsia"/>
          <w:kern w:val="0"/>
          <w:sz w:val="24"/>
          <w:szCs w:val="24"/>
        </w:rPr>
        <w:t>。</w:t>
      </w:r>
    </w:p>
    <w:p w14:paraId="27A786EE">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特此</w:t>
      </w:r>
      <w:r>
        <w:rPr>
          <w:rFonts w:hint="eastAsia" w:asciiTheme="minorEastAsia" w:hAnsiTheme="minorEastAsia" w:eastAsiaTheme="minorEastAsia"/>
          <w:kern w:val="0"/>
          <w:sz w:val="24"/>
          <w:szCs w:val="24"/>
        </w:rPr>
        <w:t>公告</w:t>
      </w:r>
      <w:r>
        <w:rPr>
          <w:rFonts w:asciiTheme="minorEastAsia" w:hAnsiTheme="minorEastAsia" w:eastAsiaTheme="minorEastAsia"/>
          <w:kern w:val="0"/>
          <w:sz w:val="24"/>
          <w:szCs w:val="24"/>
        </w:rPr>
        <w:t>。</w:t>
      </w:r>
    </w:p>
    <w:p w14:paraId="7B92D485">
      <w:pPr>
        <w:autoSpaceDE w:val="0"/>
        <w:autoSpaceDN w:val="0"/>
        <w:adjustRightInd w:val="0"/>
        <w:spacing w:line="480" w:lineRule="exact"/>
        <w:jc w:val="right"/>
        <w:rPr>
          <w:rFonts w:asciiTheme="minorEastAsia" w:hAnsiTheme="minorEastAsia" w:eastAsiaTheme="minorEastAsia"/>
          <w:kern w:val="0"/>
          <w:sz w:val="24"/>
          <w:szCs w:val="24"/>
        </w:rPr>
      </w:pPr>
      <w:r>
        <w:rPr>
          <w:rFonts w:asciiTheme="minorEastAsia" w:hAnsiTheme="minorEastAsia" w:eastAsiaTheme="minorEastAsia"/>
          <w:kern w:val="0"/>
          <w:sz w:val="24"/>
          <w:szCs w:val="24"/>
        </w:rPr>
        <w:t>华孚时尚股份有限公司</w:t>
      </w:r>
      <w:r>
        <w:rPr>
          <w:rFonts w:hint="eastAsia" w:asciiTheme="minorEastAsia" w:hAnsiTheme="minorEastAsia" w:eastAsiaTheme="minorEastAsia"/>
          <w:kern w:val="0"/>
          <w:sz w:val="24"/>
          <w:szCs w:val="24"/>
        </w:rPr>
        <w:t>董</w:t>
      </w:r>
      <w:r>
        <w:rPr>
          <w:rFonts w:asciiTheme="minorEastAsia" w:hAnsiTheme="minorEastAsia" w:eastAsiaTheme="minorEastAsia"/>
          <w:kern w:val="0"/>
          <w:sz w:val="24"/>
          <w:szCs w:val="24"/>
        </w:rPr>
        <w:t>事会</w:t>
      </w:r>
    </w:p>
    <w:p w14:paraId="5CDB498B">
      <w:pPr>
        <w:autoSpaceDE w:val="0"/>
        <w:autoSpaceDN w:val="0"/>
        <w:adjustRightInd w:val="0"/>
        <w:spacing w:line="480" w:lineRule="exact"/>
        <w:jc w:val="right"/>
        <w:rPr>
          <w:rFonts w:asciiTheme="minorEastAsia" w:hAnsiTheme="minorEastAsia" w:eastAsiaTheme="minorEastAsia"/>
          <w:sz w:val="24"/>
          <w:szCs w:val="24"/>
        </w:rPr>
      </w:pPr>
      <w:r>
        <w:rPr>
          <w:rFonts w:hint="eastAsia" w:asciiTheme="minorEastAsia" w:hAnsiTheme="minorEastAsia" w:eastAsiaTheme="minorEastAsia"/>
          <w:kern w:val="0"/>
          <w:sz w:val="24"/>
          <w:szCs w:val="24"/>
        </w:rPr>
        <w:t>二〇二六年二月十</w:t>
      </w:r>
      <w:r>
        <w:rPr>
          <w:rFonts w:hint="eastAsia" w:asciiTheme="minorEastAsia" w:hAnsiTheme="minorEastAsia" w:eastAsiaTheme="minorEastAsia"/>
          <w:kern w:val="0"/>
          <w:sz w:val="24"/>
          <w:szCs w:val="24"/>
          <w:lang w:val="en-US" w:eastAsia="zh-CN"/>
        </w:rPr>
        <w:t>二</w:t>
      </w:r>
      <w:r>
        <w:rPr>
          <w:rFonts w:hint="eastAsia" w:asciiTheme="minorEastAsia" w:hAnsiTheme="minorEastAsia" w:eastAsiaTheme="minorEastAsia"/>
          <w:kern w:val="0"/>
          <w:sz w:val="24"/>
          <w:szCs w:val="24"/>
        </w:rPr>
        <w:t>日</w:t>
      </w:r>
    </w:p>
    <w:sectPr>
      <w:pgSz w:w="11906" w:h="16838"/>
      <w:pgMar w:top="1135" w:right="1800" w:bottom="102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2472F"/>
    <w:multiLevelType w:val="singleLevel"/>
    <w:tmpl w:val="8682472F"/>
    <w:lvl w:ilvl="0" w:tentative="0">
      <w:start w:val="1"/>
      <w:numFmt w:val="decimal"/>
      <w:suff w:val="nothing"/>
      <w:lvlText w:val="%1、"/>
      <w:lvlJc w:val="left"/>
    </w:lvl>
  </w:abstractNum>
  <w:abstractNum w:abstractNumId="1">
    <w:nsid w:val="C2A506C3"/>
    <w:multiLevelType w:val="singleLevel"/>
    <w:tmpl w:val="C2A506C3"/>
    <w:lvl w:ilvl="0" w:tentative="0">
      <w:start w:val="1"/>
      <w:numFmt w:val="decimal"/>
      <w:suff w:val="nothing"/>
      <w:lvlText w:val="%1、"/>
      <w:lvlJc w:val="left"/>
    </w:lvl>
  </w:abstractNum>
  <w:abstractNum w:abstractNumId="2">
    <w:nsid w:val="4AB22C9D"/>
    <w:multiLevelType w:val="singleLevel"/>
    <w:tmpl w:val="4AB22C9D"/>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6E6AFD"/>
    <w:rsid w:val="00011431"/>
    <w:rsid w:val="0005344A"/>
    <w:rsid w:val="00054CA8"/>
    <w:rsid w:val="000864CE"/>
    <w:rsid w:val="000D3ABD"/>
    <w:rsid w:val="000E0DC2"/>
    <w:rsid w:val="000E1211"/>
    <w:rsid w:val="000F31DF"/>
    <w:rsid w:val="0010598A"/>
    <w:rsid w:val="00110CA2"/>
    <w:rsid w:val="001263DD"/>
    <w:rsid w:val="00126B17"/>
    <w:rsid w:val="001454CC"/>
    <w:rsid w:val="00160828"/>
    <w:rsid w:val="00171561"/>
    <w:rsid w:val="001834CB"/>
    <w:rsid w:val="00184D4F"/>
    <w:rsid w:val="001916B2"/>
    <w:rsid w:val="001917EB"/>
    <w:rsid w:val="00195116"/>
    <w:rsid w:val="001E670F"/>
    <w:rsid w:val="001E7C24"/>
    <w:rsid w:val="00201033"/>
    <w:rsid w:val="0020339F"/>
    <w:rsid w:val="00287EF9"/>
    <w:rsid w:val="002A54EE"/>
    <w:rsid w:val="002D792A"/>
    <w:rsid w:val="00333043"/>
    <w:rsid w:val="00352817"/>
    <w:rsid w:val="00354540"/>
    <w:rsid w:val="003C7D52"/>
    <w:rsid w:val="003D6B08"/>
    <w:rsid w:val="003D76D1"/>
    <w:rsid w:val="003E3AAF"/>
    <w:rsid w:val="00407607"/>
    <w:rsid w:val="004311AF"/>
    <w:rsid w:val="004A3D6D"/>
    <w:rsid w:val="004D6190"/>
    <w:rsid w:val="004E7761"/>
    <w:rsid w:val="004F40B5"/>
    <w:rsid w:val="004F782E"/>
    <w:rsid w:val="00551063"/>
    <w:rsid w:val="0057640B"/>
    <w:rsid w:val="00583371"/>
    <w:rsid w:val="005A7547"/>
    <w:rsid w:val="005C6441"/>
    <w:rsid w:val="005E2C8B"/>
    <w:rsid w:val="00602F1F"/>
    <w:rsid w:val="0060371E"/>
    <w:rsid w:val="006079CD"/>
    <w:rsid w:val="006118F4"/>
    <w:rsid w:val="00617D60"/>
    <w:rsid w:val="00624B96"/>
    <w:rsid w:val="00630782"/>
    <w:rsid w:val="00657C02"/>
    <w:rsid w:val="00666BB4"/>
    <w:rsid w:val="00677B15"/>
    <w:rsid w:val="006822AB"/>
    <w:rsid w:val="00687BBD"/>
    <w:rsid w:val="006A1355"/>
    <w:rsid w:val="006A57D4"/>
    <w:rsid w:val="006B72A6"/>
    <w:rsid w:val="006D60ED"/>
    <w:rsid w:val="006D6ACA"/>
    <w:rsid w:val="006E6AFD"/>
    <w:rsid w:val="006F59DF"/>
    <w:rsid w:val="00704E4B"/>
    <w:rsid w:val="0070765B"/>
    <w:rsid w:val="007213AD"/>
    <w:rsid w:val="0072689F"/>
    <w:rsid w:val="00737F5E"/>
    <w:rsid w:val="007443CA"/>
    <w:rsid w:val="00790F83"/>
    <w:rsid w:val="007929B1"/>
    <w:rsid w:val="0079769C"/>
    <w:rsid w:val="007B0AB1"/>
    <w:rsid w:val="007C5053"/>
    <w:rsid w:val="00822E8C"/>
    <w:rsid w:val="00824DED"/>
    <w:rsid w:val="00832685"/>
    <w:rsid w:val="00833F5E"/>
    <w:rsid w:val="00841BE8"/>
    <w:rsid w:val="00847235"/>
    <w:rsid w:val="00862A46"/>
    <w:rsid w:val="00875EEF"/>
    <w:rsid w:val="008A20CE"/>
    <w:rsid w:val="008C20B1"/>
    <w:rsid w:val="008C3C6D"/>
    <w:rsid w:val="008D4E62"/>
    <w:rsid w:val="008F4FC7"/>
    <w:rsid w:val="00932963"/>
    <w:rsid w:val="00942336"/>
    <w:rsid w:val="0095138F"/>
    <w:rsid w:val="00956444"/>
    <w:rsid w:val="00974AE1"/>
    <w:rsid w:val="00984D7B"/>
    <w:rsid w:val="00985CBE"/>
    <w:rsid w:val="009960CD"/>
    <w:rsid w:val="009D0419"/>
    <w:rsid w:val="009D62D8"/>
    <w:rsid w:val="009D7EF8"/>
    <w:rsid w:val="009E3DB5"/>
    <w:rsid w:val="009F23F9"/>
    <w:rsid w:val="009F6B32"/>
    <w:rsid w:val="00A02886"/>
    <w:rsid w:val="00A22881"/>
    <w:rsid w:val="00A35185"/>
    <w:rsid w:val="00A43249"/>
    <w:rsid w:val="00A45FE7"/>
    <w:rsid w:val="00A83FCE"/>
    <w:rsid w:val="00AC3C01"/>
    <w:rsid w:val="00AC591E"/>
    <w:rsid w:val="00AC641F"/>
    <w:rsid w:val="00AD3557"/>
    <w:rsid w:val="00AF376D"/>
    <w:rsid w:val="00B00832"/>
    <w:rsid w:val="00B1650F"/>
    <w:rsid w:val="00B315E6"/>
    <w:rsid w:val="00B34194"/>
    <w:rsid w:val="00B40D14"/>
    <w:rsid w:val="00B4132A"/>
    <w:rsid w:val="00B66744"/>
    <w:rsid w:val="00B84B11"/>
    <w:rsid w:val="00BA6BC2"/>
    <w:rsid w:val="00BA7F76"/>
    <w:rsid w:val="00BB3F3F"/>
    <w:rsid w:val="00BC23FF"/>
    <w:rsid w:val="00BF13AE"/>
    <w:rsid w:val="00C428C4"/>
    <w:rsid w:val="00C719B8"/>
    <w:rsid w:val="00C75216"/>
    <w:rsid w:val="00C80118"/>
    <w:rsid w:val="00CC0EE5"/>
    <w:rsid w:val="00CE7808"/>
    <w:rsid w:val="00CF0030"/>
    <w:rsid w:val="00D12795"/>
    <w:rsid w:val="00D236FD"/>
    <w:rsid w:val="00D67256"/>
    <w:rsid w:val="00D70B6D"/>
    <w:rsid w:val="00D851B2"/>
    <w:rsid w:val="00D87C0C"/>
    <w:rsid w:val="00DA360D"/>
    <w:rsid w:val="00DF0348"/>
    <w:rsid w:val="00E330A1"/>
    <w:rsid w:val="00E37C18"/>
    <w:rsid w:val="00E85137"/>
    <w:rsid w:val="00EC027C"/>
    <w:rsid w:val="00F01039"/>
    <w:rsid w:val="00F02EDD"/>
    <w:rsid w:val="00F03CDE"/>
    <w:rsid w:val="00F05FA4"/>
    <w:rsid w:val="00F139D0"/>
    <w:rsid w:val="00F145C9"/>
    <w:rsid w:val="00F46F57"/>
    <w:rsid w:val="00F54AEF"/>
    <w:rsid w:val="00F70C8D"/>
    <w:rsid w:val="00F758CC"/>
    <w:rsid w:val="00F92383"/>
    <w:rsid w:val="00F96CE1"/>
    <w:rsid w:val="00FB6F06"/>
    <w:rsid w:val="00FC798E"/>
    <w:rsid w:val="00FF2085"/>
    <w:rsid w:val="00FF62C5"/>
    <w:rsid w:val="024040CF"/>
    <w:rsid w:val="035442A0"/>
    <w:rsid w:val="06110369"/>
    <w:rsid w:val="06F41D15"/>
    <w:rsid w:val="082D6D90"/>
    <w:rsid w:val="09B948EF"/>
    <w:rsid w:val="0F8E47D8"/>
    <w:rsid w:val="10053A08"/>
    <w:rsid w:val="11641C95"/>
    <w:rsid w:val="144E4B82"/>
    <w:rsid w:val="14781A33"/>
    <w:rsid w:val="156118F0"/>
    <w:rsid w:val="157224A6"/>
    <w:rsid w:val="15CA0680"/>
    <w:rsid w:val="166149F5"/>
    <w:rsid w:val="19EB5888"/>
    <w:rsid w:val="1FBE4C66"/>
    <w:rsid w:val="27A92E21"/>
    <w:rsid w:val="2A111E36"/>
    <w:rsid w:val="2C024AAA"/>
    <w:rsid w:val="2DF4597A"/>
    <w:rsid w:val="2E88674F"/>
    <w:rsid w:val="2F065CE2"/>
    <w:rsid w:val="3102072B"/>
    <w:rsid w:val="365077FE"/>
    <w:rsid w:val="37661A13"/>
    <w:rsid w:val="382B0567"/>
    <w:rsid w:val="3C723848"/>
    <w:rsid w:val="3D6562C9"/>
    <w:rsid w:val="3F4D34B9"/>
    <w:rsid w:val="3F6E4F73"/>
    <w:rsid w:val="40DA6FCE"/>
    <w:rsid w:val="43A55671"/>
    <w:rsid w:val="46440826"/>
    <w:rsid w:val="52585DEA"/>
    <w:rsid w:val="53EB1FE5"/>
    <w:rsid w:val="54132940"/>
    <w:rsid w:val="570805AA"/>
    <w:rsid w:val="57A26DC1"/>
    <w:rsid w:val="57F5027A"/>
    <w:rsid w:val="58311772"/>
    <w:rsid w:val="59CF49B1"/>
    <w:rsid w:val="5AE57265"/>
    <w:rsid w:val="5C5541F6"/>
    <w:rsid w:val="5E4072BB"/>
    <w:rsid w:val="631E72C5"/>
    <w:rsid w:val="65183A9D"/>
    <w:rsid w:val="694A1879"/>
    <w:rsid w:val="6A3D59BD"/>
    <w:rsid w:val="6C1F237D"/>
    <w:rsid w:val="6F4109A4"/>
    <w:rsid w:val="70D73037"/>
    <w:rsid w:val="710F044A"/>
    <w:rsid w:val="732C709B"/>
    <w:rsid w:val="769D6B1F"/>
    <w:rsid w:val="7BB52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autoRedefine/>
    <w:semiHidden/>
    <w:unhideWhenUsed/>
    <w:qFormat/>
    <w:uiPriority w:val="0"/>
    <w:pPr>
      <w:spacing w:line="600" w:lineRule="atLeast"/>
      <w:ind w:firstLine="560" w:firstLineChars="200"/>
    </w:pPr>
    <w:rPr>
      <w:rFonts w:ascii="Times New Roman" w:hAnsi="Times New Roman"/>
      <w:sz w:val="28"/>
      <w:szCs w:val="24"/>
    </w:rPr>
  </w:style>
  <w:style w:type="paragraph" w:styleId="3">
    <w:name w:val="Balloon Text"/>
    <w:basedOn w:val="1"/>
    <w:link w:val="14"/>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autoRedefine/>
    <w:semiHidden/>
    <w:unhideWhenUsed/>
    <w:qFormat/>
    <w:uiPriority w:val="99"/>
    <w:rPr>
      <w:color w:val="800080" w:themeColor="followedHyperlink"/>
      <w:u w:val="single"/>
      <w14:textFill>
        <w14:solidFill>
          <w14:schemeClr w14:val="folHlink"/>
        </w14:solidFill>
      </w14:textFill>
    </w:rPr>
  </w:style>
  <w:style w:type="character" w:styleId="10">
    <w:name w:val="Hyperlink"/>
    <w:unhideWhenUsed/>
    <w:qFormat/>
    <w:uiPriority w:val="99"/>
    <w:rPr>
      <w:color w:val="0000FF"/>
      <w:u w:val="single"/>
    </w:rPr>
  </w:style>
  <w:style w:type="character" w:customStyle="1" w:styleId="11">
    <w:name w:val="页眉 Char"/>
    <w:basedOn w:val="8"/>
    <w:link w:val="5"/>
    <w:qFormat/>
    <w:uiPriority w:val="99"/>
    <w:rPr>
      <w:rFonts w:ascii="Calibri" w:hAnsi="Calibri" w:eastAsia="宋体" w:cs="Times New Roman"/>
      <w:sz w:val="18"/>
      <w:szCs w:val="18"/>
    </w:rPr>
  </w:style>
  <w:style w:type="character" w:customStyle="1" w:styleId="12">
    <w:name w:val="页脚 Char"/>
    <w:basedOn w:val="8"/>
    <w:link w:val="4"/>
    <w:qFormat/>
    <w:uiPriority w:val="99"/>
    <w:rPr>
      <w:rFonts w:ascii="Calibri" w:hAnsi="Calibri" w:eastAsia="宋体" w:cs="Times New Roman"/>
      <w:sz w:val="18"/>
      <w:szCs w:val="18"/>
    </w:rPr>
  </w:style>
  <w:style w:type="character" w:customStyle="1" w:styleId="13">
    <w:name w:val="正文文本缩进 Char"/>
    <w:basedOn w:val="8"/>
    <w:link w:val="2"/>
    <w:semiHidden/>
    <w:qFormat/>
    <w:uiPriority w:val="0"/>
    <w:rPr>
      <w:rFonts w:ascii="Times New Roman" w:hAnsi="Times New Roman" w:eastAsia="宋体" w:cs="Times New Roman"/>
      <w:sz w:val="28"/>
      <w:szCs w:val="24"/>
    </w:rPr>
  </w:style>
  <w:style w:type="character" w:customStyle="1" w:styleId="14">
    <w:name w:val="批注框文本 Char"/>
    <w:basedOn w:val="8"/>
    <w:link w:val="3"/>
    <w:autoRedefine/>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2030</Words>
  <Characters>2405</Characters>
  <Lines>15</Lines>
  <Paragraphs>4</Paragraphs>
  <TotalTime>55</TotalTime>
  <ScaleCrop>false</ScaleCrop>
  <LinksUpToDate>false</LinksUpToDate>
  <CharactersWithSpaces>2433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2022-03-19T06:48:00Z</dcterms:created>
  <dc:creator>杨溶</dc:creator>
  <cp:lastModifiedBy>WSY</cp:lastModifiedBy>
  <cp:lastPrinted>2018-07-04T07:08:00Z</cp:lastPrinted>
  <dcterms:modified xsi:type="dcterms:W3CDTF">2026-02-11T07:56:54Z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B7B4CE2FE08B430492A30C82B3786585</vt:lpwstr>
  </property>
  <property fmtid="{D5CDD505-2E9C-101B-9397-08002B2CF9AE}" pid="4" name="KSOTemplateDocerSaveRecord">
    <vt:lpwstr>eyJoZGlkIjoiMGYyMzhhMzNmNzJhMTU4YjMxZTc1YjkyNzFjZGE5ZTciLCJ1c2VySWQiOiIyNjU0NTI1NDMifQ==</vt:lpwstr>
  </property>
</Properties>
</file>